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AB4" w:rsidRPr="00551FF0" w:rsidRDefault="002B3AB4" w:rsidP="002B3AB4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551FF0">
        <w:rPr>
          <w:rFonts w:ascii="Arial" w:hAnsi="Arial" w:cs="Arial"/>
          <w:b/>
          <w:sz w:val="22"/>
          <w:szCs w:val="22"/>
        </w:rPr>
        <w:t>OBČINA KAMNIK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b/>
          <w:sz w:val="22"/>
          <w:szCs w:val="22"/>
        </w:rPr>
        <w:t xml:space="preserve">       ŽUPAN</w:t>
      </w:r>
      <w:r w:rsidRPr="00551FF0">
        <w:rPr>
          <w:rFonts w:ascii="Arial" w:hAnsi="Arial" w:cs="Arial"/>
          <w:sz w:val="22"/>
          <w:szCs w:val="22"/>
        </w:rPr>
        <w:t xml:space="preserve"> 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   Glavni trg 24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   1240 Kamnik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C3740D" w:rsidP="002B3A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Številka:  </w:t>
      </w:r>
      <w:r>
        <w:rPr>
          <w:rFonts w:ascii="Arial" w:hAnsi="Arial" w:cs="Arial"/>
          <w:sz w:val="22"/>
          <w:szCs w:val="22"/>
        </w:rPr>
        <w:tab/>
      </w:r>
      <w:r w:rsidR="003C4C13">
        <w:rPr>
          <w:rFonts w:ascii="Arial" w:hAnsi="Arial" w:cs="Arial"/>
          <w:sz w:val="22"/>
          <w:szCs w:val="22"/>
        </w:rPr>
        <w:t>351-0064/2023-4/1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Datum: </w:t>
      </w:r>
      <w:r w:rsidRPr="00551FF0">
        <w:rPr>
          <w:rFonts w:ascii="Arial" w:hAnsi="Arial" w:cs="Arial"/>
          <w:sz w:val="22"/>
          <w:szCs w:val="22"/>
        </w:rPr>
        <w:tab/>
      </w:r>
      <w:r w:rsidR="00C3740D">
        <w:rPr>
          <w:rFonts w:ascii="Arial" w:hAnsi="Arial" w:cs="Arial"/>
          <w:sz w:val="22"/>
          <w:szCs w:val="22"/>
        </w:rPr>
        <w:t>25. 11. 2024</w:t>
      </w:r>
      <w:r w:rsidRPr="00551FF0">
        <w:rPr>
          <w:rFonts w:ascii="Arial" w:hAnsi="Arial" w:cs="Arial"/>
          <w:sz w:val="22"/>
          <w:szCs w:val="22"/>
        </w:rPr>
        <w:t xml:space="preserve">  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b/>
          <w:bCs w:val="0"/>
          <w:sz w:val="22"/>
          <w:szCs w:val="22"/>
        </w:rPr>
      </w:pPr>
      <w:r w:rsidRPr="00551FF0">
        <w:rPr>
          <w:rFonts w:ascii="Arial" w:hAnsi="Arial" w:cs="Arial"/>
          <w:b/>
          <w:sz w:val="22"/>
          <w:szCs w:val="22"/>
        </w:rPr>
        <w:t xml:space="preserve">OBČINSKI SVET 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b/>
          <w:sz w:val="22"/>
          <w:szCs w:val="22"/>
        </w:rPr>
        <w:t>OBČINE KAMNIK</w:t>
      </w:r>
    </w:p>
    <w:p w:rsidR="002B3AB4" w:rsidRPr="00551FF0" w:rsidRDefault="002B3AB4" w:rsidP="002B3AB4">
      <w:pPr>
        <w:ind w:left="1134" w:hanging="1134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ind w:left="1134" w:hanging="1134"/>
        <w:rPr>
          <w:rFonts w:ascii="Arial" w:hAnsi="Arial" w:cs="Arial"/>
          <w:b/>
          <w:bCs w:val="0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>ZADEVA:</w:t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b/>
          <w:sz w:val="22"/>
          <w:szCs w:val="22"/>
        </w:rPr>
        <w:t xml:space="preserve">POTRDITEV </w:t>
      </w:r>
      <w:r w:rsidR="00C3740D">
        <w:rPr>
          <w:rFonts w:ascii="Arial" w:hAnsi="Arial" w:cs="Arial"/>
          <w:b/>
          <w:sz w:val="22"/>
          <w:szCs w:val="22"/>
        </w:rPr>
        <w:t>PREDINVESTICIJSKE ZASNOVE</w:t>
      </w:r>
      <w:r w:rsidRPr="00551FF0">
        <w:rPr>
          <w:rFonts w:ascii="Arial" w:hAnsi="Arial" w:cs="Arial"/>
          <w:b/>
          <w:sz w:val="22"/>
          <w:szCs w:val="22"/>
        </w:rPr>
        <w:t xml:space="preserve"> (</w:t>
      </w:r>
      <w:r w:rsidR="00C3740D">
        <w:rPr>
          <w:rFonts w:ascii="Arial" w:hAnsi="Arial" w:cs="Arial"/>
          <w:b/>
          <w:sz w:val="22"/>
          <w:szCs w:val="22"/>
        </w:rPr>
        <w:t>PIZ</w:t>
      </w:r>
      <w:r w:rsidRPr="00551FF0">
        <w:rPr>
          <w:rFonts w:ascii="Arial" w:hAnsi="Arial" w:cs="Arial"/>
          <w:b/>
          <w:sz w:val="22"/>
          <w:szCs w:val="22"/>
        </w:rPr>
        <w:t>) »</w:t>
      </w:r>
      <w:r w:rsidR="00C3740D">
        <w:rPr>
          <w:rFonts w:ascii="Arial" w:hAnsi="Arial" w:cs="Arial"/>
          <w:b/>
          <w:sz w:val="22"/>
          <w:szCs w:val="22"/>
        </w:rPr>
        <w:t>POSLOVNI OBJEKT USNJARSKA CESTA</w:t>
      </w:r>
      <w:r w:rsidR="00B0115D" w:rsidRPr="00551FF0">
        <w:rPr>
          <w:rFonts w:ascii="Arial" w:hAnsi="Arial" w:cs="Arial"/>
          <w:b/>
          <w:sz w:val="22"/>
          <w:szCs w:val="22"/>
        </w:rPr>
        <w:t xml:space="preserve"> 1</w:t>
      </w:r>
      <w:r w:rsidRPr="00551FF0">
        <w:rPr>
          <w:rFonts w:ascii="Arial" w:hAnsi="Arial" w:cs="Arial"/>
          <w:b/>
          <w:sz w:val="22"/>
          <w:szCs w:val="22"/>
        </w:rPr>
        <w:t>«</w:t>
      </w:r>
    </w:p>
    <w:p w:rsidR="002B3AB4" w:rsidRPr="00551FF0" w:rsidRDefault="002B3AB4" w:rsidP="002B3AB4">
      <w:pPr>
        <w:ind w:left="1276" w:hanging="1276"/>
        <w:jc w:val="both"/>
        <w:rPr>
          <w:rFonts w:ascii="Arial" w:hAnsi="Arial" w:cs="Arial"/>
          <w:b/>
          <w:sz w:val="22"/>
          <w:szCs w:val="22"/>
        </w:rPr>
      </w:pPr>
    </w:p>
    <w:p w:rsidR="002B3AB4" w:rsidRPr="00551FF0" w:rsidRDefault="002B3AB4" w:rsidP="002B3AB4">
      <w:pPr>
        <w:ind w:left="1276" w:hanging="1276"/>
        <w:jc w:val="both"/>
        <w:rPr>
          <w:rFonts w:ascii="Arial" w:hAnsi="Arial" w:cs="Arial"/>
          <w:b/>
          <w:sz w:val="22"/>
          <w:szCs w:val="22"/>
        </w:rPr>
      </w:pPr>
    </w:p>
    <w:p w:rsidR="002B3AB4" w:rsidRPr="00551FF0" w:rsidRDefault="002B3AB4" w:rsidP="006462C3">
      <w:pPr>
        <w:ind w:left="2127" w:hanging="2127"/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>PREDLAGATELJ:</w:t>
      </w:r>
      <w:r w:rsidRPr="00551FF0">
        <w:rPr>
          <w:rFonts w:ascii="Arial" w:hAnsi="Arial" w:cs="Arial"/>
          <w:sz w:val="22"/>
          <w:szCs w:val="22"/>
        </w:rPr>
        <w:tab/>
      </w:r>
      <w:r w:rsidR="006462C3" w:rsidRPr="00551FF0">
        <w:rPr>
          <w:rFonts w:ascii="Arial" w:hAnsi="Arial" w:cs="Arial"/>
          <w:sz w:val="22"/>
          <w:szCs w:val="22"/>
        </w:rPr>
        <w:t>Mat</w:t>
      </w:r>
      <w:r w:rsidR="00C3740D">
        <w:rPr>
          <w:rFonts w:ascii="Arial" w:hAnsi="Arial" w:cs="Arial"/>
          <w:sz w:val="22"/>
          <w:szCs w:val="22"/>
        </w:rPr>
        <w:t>ej Slapar, župan Občine Kamnik</w:t>
      </w:r>
    </w:p>
    <w:p w:rsidR="006462C3" w:rsidRPr="00551FF0" w:rsidRDefault="006462C3" w:rsidP="006462C3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:rsidR="006462C3" w:rsidRPr="00551FF0" w:rsidRDefault="002B3AB4" w:rsidP="006462C3">
      <w:pPr>
        <w:ind w:left="2124" w:hanging="2124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>POROČEVALCI:</w:t>
      </w:r>
      <w:r w:rsidRPr="00551FF0">
        <w:rPr>
          <w:rFonts w:ascii="Arial" w:hAnsi="Arial" w:cs="Arial"/>
          <w:sz w:val="22"/>
          <w:szCs w:val="22"/>
        </w:rPr>
        <w:tab/>
      </w:r>
      <w:r w:rsidR="006462C3" w:rsidRPr="00551FF0">
        <w:rPr>
          <w:rFonts w:ascii="Arial" w:hAnsi="Arial" w:cs="Arial"/>
          <w:sz w:val="22"/>
          <w:szCs w:val="22"/>
        </w:rPr>
        <w:t xml:space="preserve">Katarina Vegel, </w:t>
      </w:r>
      <w:r w:rsidR="00C3740D">
        <w:rPr>
          <w:rFonts w:ascii="Arial" w:hAnsi="Arial" w:cs="Arial"/>
          <w:sz w:val="22"/>
          <w:szCs w:val="22"/>
        </w:rPr>
        <w:t>vodja</w:t>
      </w:r>
      <w:r w:rsidR="006462C3" w:rsidRPr="00551FF0">
        <w:rPr>
          <w:rFonts w:ascii="Arial" w:hAnsi="Arial" w:cs="Arial"/>
          <w:sz w:val="22"/>
          <w:szCs w:val="22"/>
        </w:rPr>
        <w:t xml:space="preserve"> Oddelka za družbene dejavnosti</w:t>
      </w:r>
    </w:p>
    <w:p w:rsidR="006462C3" w:rsidRPr="00551FF0" w:rsidRDefault="006462C3" w:rsidP="006462C3">
      <w:pPr>
        <w:ind w:left="2124" w:firstLine="6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bCs w:val="0"/>
          <w:sz w:val="22"/>
          <w:szCs w:val="22"/>
        </w:rPr>
        <w:t>Bogdan Pogačar</w:t>
      </w:r>
      <w:r w:rsidRPr="00551FF0">
        <w:rPr>
          <w:rFonts w:ascii="Arial" w:hAnsi="Arial" w:cs="Arial"/>
          <w:sz w:val="22"/>
          <w:szCs w:val="22"/>
        </w:rPr>
        <w:t xml:space="preserve"> – višji svetovalec za</w:t>
      </w:r>
      <w:r w:rsidR="003C4CDA" w:rsidRPr="00551FF0">
        <w:rPr>
          <w:rFonts w:ascii="Arial" w:hAnsi="Arial" w:cs="Arial"/>
          <w:sz w:val="22"/>
          <w:szCs w:val="22"/>
        </w:rPr>
        <w:t xml:space="preserve"> izgradnjo</w:t>
      </w:r>
      <w:r w:rsidRPr="00551FF0">
        <w:rPr>
          <w:rFonts w:ascii="Arial" w:hAnsi="Arial" w:cs="Arial"/>
          <w:sz w:val="22"/>
          <w:szCs w:val="22"/>
        </w:rPr>
        <w:t xml:space="preserve"> infrastrukturnih objektov</w:t>
      </w:r>
    </w:p>
    <w:p w:rsidR="003912D0" w:rsidRDefault="002762D8" w:rsidP="003912D0">
      <w:pPr>
        <w:ind w:left="2127" w:hanging="3"/>
        <w:jc w:val="both"/>
        <w:rPr>
          <w:rFonts w:ascii="Arial" w:hAnsi="Arial" w:cs="Arial"/>
          <w:sz w:val="22"/>
          <w:szCs w:val="22"/>
        </w:rPr>
      </w:pPr>
      <w:r w:rsidRPr="002762D8">
        <w:rPr>
          <w:rFonts w:ascii="Arial" w:hAnsi="Arial" w:cs="Arial"/>
          <w:sz w:val="22"/>
          <w:szCs w:val="22"/>
        </w:rPr>
        <w:t xml:space="preserve">Nevenka Franko – predstavnica pripravljavca PIZ – </w:t>
      </w:r>
      <w:proofErr w:type="spellStart"/>
      <w:r w:rsidRPr="002762D8">
        <w:rPr>
          <w:rFonts w:ascii="Arial" w:hAnsi="Arial" w:cs="Arial"/>
          <w:sz w:val="22"/>
          <w:szCs w:val="22"/>
        </w:rPr>
        <w:t>Fimex</w:t>
      </w:r>
      <w:proofErr w:type="spellEnd"/>
      <w:r>
        <w:rPr>
          <w:rFonts w:ascii="Arial" w:hAnsi="Arial" w:cs="Arial"/>
          <w:sz w:val="22"/>
          <w:szCs w:val="22"/>
        </w:rPr>
        <w:t>-N</w:t>
      </w:r>
      <w:r w:rsidRPr="002762D8">
        <w:rPr>
          <w:rFonts w:ascii="Arial" w:hAnsi="Arial" w:cs="Arial"/>
          <w:sz w:val="22"/>
          <w:szCs w:val="22"/>
        </w:rPr>
        <w:t xml:space="preserve">, d. o. o. </w:t>
      </w:r>
    </w:p>
    <w:p w:rsidR="002762D8" w:rsidRPr="002762D8" w:rsidRDefault="002762D8" w:rsidP="003912D0">
      <w:pPr>
        <w:ind w:left="2127" w:hanging="3"/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ind w:left="2127" w:hanging="2127"/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>PRAVNA OSNOVA:</w:t>
      </w:r>
      <w:r w:rsidRPr="00551FF0">
        <w:rPr>
          <w:rFonts w:ascii="Arial" w:hAnsi="Arial" w:cs="Arial"/>
          <w:sz w:val="22"/>
          <w:szCs w:val="22"/>
        </w:rPr>
        <w:tab/>
        <w:t>4.</w:t>
      </w:r>
      <w:r w:rsidR="009A3210">
        <w:rPr>
          <w:rFonts w:ascii="Arial" w:hAnsi="Arial" w:cs="Arial"/>
          <w:sz w:val="22"/>
          <w:szCs w:val="22"/>
        </w:rPr>
        <w:t>, 5., 10. in 12.</w:t>
      </w:r>
      <w:r w:rsidRPr="00551FF0">
        <w:rPr>
          <w:rFonts w:ascii="Arial" w:hAnsi="Arial" w:cs="Arial"/>
          <w:sz w:val="22"/>
          <w:szCs w:val="22"/>
        </w:rPr>
        <w:t xml:space="preserve"> člen Uredbe o enotni metodologiji za pripravo in obravnavo investicijske dokumentacije na področju javnih financ (Uradni list RS, št. 60/06, 54/10 in 27/16) in 17. člen Statuta Občine Kamnik (Urad</w:t>
      </w:r>
      <w:r w:rsidR="00B0115D" w:rsidRPr="00551FF0">
        <w:rPr>
          <w:rFonts w:ascii="Arial" w:hAnsi="Arial" w:cs="Arial"/>
          <w:sz w:val="22"/>
          <w:szCs w:val="22"/>
        </w:rPr>
        <w:t xml:space="preserve">ni list RS, št. 50/15, 20/17, </w:t>
      </w:r>
      <w:r w:rsidRPr="00551FF0">
        <w:rPr>
          <w:rFonts w:ascii="Arial" w:hAnsi="Arial" w:cs="Arial"/>
          <w:sz w:val="22"/>
          <w:szCs w:val="22"/>
        </w:rPr>
        <w:t>61/19</w:t>
      </w:r>
      <w:r w:rsidR="00B0115D" w:rsidRPr="00551FF0">
        <w:rPr>
          <w:rFonts w:ascii="Arial" w:hAnsi="Arial" w:cs="Arial"/>
          <w:sz w:val="22"/>
          <w:szCs w:val="22"/>
        </w:rPr>
        <w:t xml:space="preserve"> in 92/22</w:t>
      </w:r>
      <w:r w:rsidRPr="00551FF0">
        <w:rPr>
          <w:rFonts w:ascii="Arial" w:hAnsi="Arial" w:cs="Arial"/>
          <w:sz w:val="22"/>
          <w:szCs w:val="22"/>
        </w:rPr>
        <w:t>)</w:t>
      </w:r>
    </w:p>
    <w:p w:rsidR="002B3AB4" w:rsidRPr="00551FF0" w:rsidRDefault="002B3AB4" w:rsidP="002B3AB4">
      <w:pPr>
        <w:ind w:left="2127" w:hanging="2127"/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ind w:left="2127" w:hanging="2127"/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>NAMEN:</w:t>
      </w:r>
      <w:r w:rsidRPr="00551FF0">
        <w:rPr>
          <w:rFonts w:ascii="Arial" w:hAnsi="Arial" w:cs="Arial"/>
          <w:sz w:val="22"/>
          <w:szCs w:val="22"/>
        </w:rPr>
        <w:tab/>
        <w:t>Obravnava in sprejem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>PREDLOG SKLEPA:</w:t>
      </w:r>
    </w:p>
    <w:p w:rsidR="002B3AB4" w:rsidRPr="00551FF0" w:rsidRDefault="002B3AB4" w:rsidP="002B3AB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b/>
          <w:bCs w:val="0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Občinski svet Občine Kamnik potrdi </w:t>
      </w:r>
      <w:r w:rsidR="00C3740D">
        <w:rPr>
          <w:rFonts w:ascii="Arial" w:hAnsi="Arial" w:cs="Arial"/>
          <w:sz w:val="22"/>
          <w:szCs w:val="22"/>
        </w:rPr>
        <w:t>Predinvesticijsko zasnovo (PIZ</w:t>
      </w:r>
      <w:r w:rsidRPr="00551FF0">
        <w:rPr>
          <w:rFonts w:ascii="Arial" w:hAnsi="Arial" w:cs="Arial"/>
          <w:sz w:val="22"/>
          <w:szCs w:val="22"/>
        </w:rPr>
        <w:t>) »</w:t>
      </w:r>
      <w:r w:rsidR="00BB6C8F" w:rsidRPr="00551FF0">
        <w:rPr>
          <w:rFonts w:ascii="Arial" w:hAnsi="Arial" w:cs="Arial"/>
          <w:sz w:val="22"/>
          <w:szCs w:val="22"/>
        </w:rPr>
        <w:t xml:space="preserve">Poslovni objekt Usnjarska </w:t>
      </w:r>
      <w:r w:rsidR="00C3740D">
        <w:rPr>
          <w:rFonts w:ascii="Arial" w:hAnsi="Arial" w:cs="Arial"/>
          <w:sz w:val="22"/>
          <w:szCs w:val="22"/>
        </w:rPr>
        <w:t>cesta</w:t>
      </w:r>
      <w:r w:rsidR="00BB6C8F" w:rsidRPr="00551FF0">
        <w:rPr>
          <w:rFonts w:ascii="Arial" w:hAnsi="Arial" w:cs="Arial"/>
          <w:sz w:val="22"/>
          <w:szCs w:val="22"/>
        </w:rPr>
        <w:t xml:space="preserve"> 1</w:t>
      </w:r>
      <w:r w:rsidRPr="00551FF0">
        <w:rPr>
          <w:rFonts w:ascii="Arial" w:hAnsi="Arial" w:cs="Arial"/>
          <w:sz w:val="22"/>
          <w:szCs w:val="22"/>
        </w:rPr>
        <w:t>«.</w:t>
      </w:r>
    </w:p>
    <w:p w:rsidR="002B3AB4" w:rsidRPr="00551FF0" w:rsidRDefault="002B3AB4" w:rsidP="002B3AB4">
      <w:pPr>
        <w:jc w:val="both"/>
        <w:rPr>
          <w:rFonts w:ascii="Arial" w:hAnsi="Arial" w:cs="Arial"/>
          <w:b/>
          <w:bCs w:val="0"/>
          <w:sz w:val="22"/>
          <w:szCs w:val="22"/>
        </w:rPr>
      </w:pPr>
    </w:p>
    <w:p w:rsidR="002B3AB4" w:rsidRPr="00551FF0" w:rsidRDefault="002B3AB4" w:rsidP="002B3AB4">
      <w:pPr>
        <w:jc w:val="center"/>
        <w:rPr>
          <w:rFonts w:ascii="Arial" w:hAnsi="Arial" w:cs="Arial"/>
          <w:b/>
          <w:bCs w:val="0"/>
          <w:sz w:val="22"/>
          <w:szCs w:val="22"/>
        </w:rPr>
      </w:pPr>
      <w:r w:rsidRPr="00551FF0">
        <w:rPr>
          <w:rFonts w:ascii="Arial" w:hAnsi="Arial" w:cs="Arial"/>
          <w:b/>
          <w:sz w:val="22"/>
          <w:szCs w:val="22"/>
        </w:rPr>
        <w:t>O b r a z l o ž i t e v:</w:t>
      </w:r>
    </w:p>
    <w:p w:rsidR="002B3AB4" w:rsidRPr="00551FF0" w:rsidRDefault="002B3AB4" w:rsidP="002B3AB4">
      <w:pPr>
        <w:jc w:val="both"/>
        <w:rPr>
          <w:rFonts w:ascii="Arial" w:hAnsi="Arial" w:cs="Arial"/>
          <w:b/>
          <w:bCs w:val="0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>O b r a z l o ž i t e v: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b/>
          <w:sz w:val="22"/>
          <w:szCs w:val="22"/>
        </w:rPr>
      </w:pPr>
      <w:r w:rsidRPr="00551FF0">
        <w:rPr>
          <w:rFonts w:ascii="Arial" w:hAnsi="Arial" w:cs="Arial"/>
          <w:b/>
          <w:sz w:val="22"/>
          <w:szCs w:val="22"/>
        </w:rPr>
        <w:t>1.</w:t>
      </w:r>
      <w:r w:rsidRPr="00551FF0">
        <w:rPr>
          <w:rFonts w:ascii="Arial" w:hAnsi="Arial" w:cs="Arial"/>
          <w:b/>
          <w:sz w:val="22"/>
          <w:szCs w:val="22"/>
        </w:rPr>
        <w:tab/>
        <w:t>Razlogi za sprejem sklepa in ocena stanja: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3C4CDA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lastRenderedPageBreak/>
        <w:t xml:space="preserve">Javni </w:t>
      </w:r>
      <w:r w:rsidR="001165ED">
        <w:rPr>
          <w:rFonts w:ascii="Arial" w:hAnsi="Arial" w:cs="Arial"/>
          <w:sz w:val="22"/>
          <w:szCs w:val="22"/>
        </w:rPr>
        <w:t xml:space="preserve">lekarniški </w:t>
      </w:r>
      <w:r w:rsidRPr="00551FF0">
        <w:rPr>
          <w:rFonts w:ascii="Arial" w:hAnsi="Arial" w:cs="Arial"/>
          <w:sz w:val="22"/>
          <w:szCs w:val="22"/>
        </w:rPr>
        <w:t>zavod Me</w:t>
      </w:r>
      <w:r w:rsidR="001165ED">
        <w:rPr>
          <w:rFonts w:ascii="Arial" w:hAnsi="Arial" w:cs="Arial"/>
          <w:sz w:val="22"/>
          <w:szCs w:val="22"/>
        </w:rPr>
        <w:t>stne l</w:t>
      </w:r>
      <w:r w:rsidRPr="00551FF0">
        <w:rPr>
          <w:rFonts w:ascii="Arial" w:hAnsi="Arial" w:cs="Arial"/>
          <w:sz w:val="22"/>
          <w:szCs w:val="22"/>
        </w:rPr>
        <w:t>ekarne in Občina Kamnik imata namen pridobiti gradbeno dovoljenje za rekonstrukcijo poslovnega objekta (ID stavbe:</w:t>
      </w:r>
      <w:r w:rsidRPr="00551FF0">
        <w:rPr>
          <w:rFonts w:ascii="Arial" w:eastAsia="Calibri" w:hAnsi="Arial" w:cs="Arial"/>
          <w:sz w:val="22"/>
          <w:szCs w:val="22"/>
        </w:rPr>
        <w:t xml:space="preserve">755, SID (identifikator) 22356308) </w:t>
      </w:r>
      <w:r w:rsidRPr="00551FF0">
        <w:rPr>
          <w:rFonts w:ascii="Arial" w:hAnsi="Arial" w:cs="Arial"/>
          <w:sz w:val="22"/>
          <w:szCs w:val="22"/>
        </w:rPr>
        <w:t>nekdanje Klavnice na Usnjarski ulici 1 v Kamniku. Za izvedbo rekonstrukcije bosta navedena investitorja pridobila gradbeno dovoljenje, ki bo omogočalo izgrad</w:t>
      </w:r>
      <w:r w:rsidR="001165ED">
        <w:rPr>
          <w:rFonts w:ascii="Arial" w:hAnsi="Arial" w:cs="Arial"/>
          <w:sz w:val="22"/>
          <w:szCs w:val="22"/>
        </w:rPr>
        <w:t>njo novih upravnih prostorov Javnemu lekarniškemu zavodu Mestne</w:t>
      </w:r>
      <w:r w:rsidRPr="00551FF0">
        <w:rPr>
          <w:rFonts w:ascii="Arial" w:hAnsi="Arial" w:cs="Arial"/>
          <w:sz w:val="22"/>
          <w:szCs w:val="22"/>
        </w:rPr>
        <w:t xml:space="preserve"> lekarn</w:t>
      </w:r>
      <w:r w:rsidR="001165ED">
        <w:rPr>
          <w:rFonts w:ascii="Arial" w:hAnsi="Arial" w:cs="Arial"/>
          <w:sz w:val="22"/>
          <w:szCs w:val="22"/>
        </w:rPr>
        <w:t>e</w:t>
      </w:r>
      <w:r w:rsidRPr="00551FF0">
        <w:rPr>
          <w:rFonts w:ascii="Arial" w:hAnsi="Arial" w:cs="Arial"/>
          <w:sz w:val="22"/>
          <w:szCs w:val="22"/>
        </w:rPr>
        <w:t xml:space="preserve"> vključno s skladiščnimi prostori in </w:t>
      </w:r>
      <w:proofErr w:type="spellStart"/>
      <w:r w:rsidRPr="00551FF0">
        <w:rPr>
          <w:rFonts w:ascii="Arial" w:hAnsi="Arial" w:cs="Arial"/>
          <w:sz w:val="22"/>
          <w:szCs w:val="22"/>
        </w:rPr>
        <w:t>Drive</w:t>
      </w:r>
      <w:proofErr w:type="spellEnd"/>
      <w:r w:rsidRPr="00551FF0">
        <w:rPr>
          <w:rFonts w:ascii="Arial" w:hAnsi="Arial" w:cs="Arial"/>
          <w:sz w:val="22"/>
          <w:szCs w:val="22"/>
        </w:rPr>
        <w:t>-in lekarno. V severnem delu objekta so predvideni poslovni prostori v lasti Občine Kamnik.</w:t>
      </w:r>
      <w:r w:rsidR="004368DC" w:rsidRPr="00551FF0">
        <w:rPr>
          <w:rFonts w:ascii="Arial" w:hAnsi="Arial" w:cs="Arial"/>
          <w:sz w:val="22"/>
          <w:szCs w:val="22"/>
        </w:rPr>
        <w:t xml:space="preserve"> Projektna dokumentacija za pridobitev gradbenega dovoljenja bo omogočala fazno izvedbo gradnje, kar pomeni, da bo lahko vsak od investitorjev časovno neodvisno izvedel nameravano investicijo.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Skladno s 4. členom Uredbe o enotni metodologiji za pripravo in obravnavo investicijske dokumentacije na področju javnih financ (Uradni list RS, št. 60/06, 54/10 in 27/16) je potrebno za navedeni projekt </w:t>
      </w:r>
      <w:r w:rsidR="004368DC" w:rsidRPr="00551FF0">
        <w:rPr>
          <w:rFonts w:ascii="Arial" w:hAnsi="Arial" w:cs="Arial"/>
          <w:sz w:val="22"/>
          <w:szCs w:val="22"/>
        </w:rPr>
        <w:t>i</w:t>
      </w:r>
      <w:r w:rsidRPr="00551FF0">
        <w:rPr>
          <w:rFonts w:ascii="Arial" w:hAnsi="Arial" w:cs="Arial"/>
          <w:sz w:val="22"/>
          <w:szCs w:val="22"/>
        </w:rPr>
        <w:t>zdelati DIIP</w:t>
      </w:r>
      <w:r w:rsidR="004368DC" w:rsidRPr="00551FF0">
        <w:rPr>
          <w:rFonts w:ascii="Arial" w:hAnsi="Arial" w:cs="Arial"/>
          <w:sz w:val="22"/>
          <w:szCs w:val="22"/>
        </w:rPr>
        <w:t>, PIZ in IP</w:t>
      </w:r>
      <w:r w:rsidRPr="00551FF0">
        <w:rPr>
          <w:rFonts w:ascii="Arial" w:hAnsi="Arial" w:cs="Arial"/>
          <w:sz w:val="22"/>
          <w:szCs w:val="22"/>
        </w:rPr>
        <w:t xml:space="preserve">. Za investicijo, katere ocenjena vrednost je višja od 450.000 </w:t>
      </w:r>
      <w:r w:rsidR="003B5584">
        <w:rPr>
          <w:rFonts w:ascii="Arial" w:hAnsi="Arial" w:cs="Arial"/>
          <w:sz w:val="22"/>
          <w:szCs w:val="22"/>
        </w:rPr>
        <w:t>eurov</w:t>
      </w:r>
      <w:r w:rsidRPr="00551FF0">
        <w:rPr>
          <w:rFonts w:ascii="Arial" w:hAnsi="Arial" w:cs="Arial"/>
          <w:sz w:val="22"/>
          <w:szCs w:val="22"/>
        </w:rPr>
        <w:t>, pa v skladu s 7. členom Odloka o proračunu Občine Kamnik za leto 202</w:t>
      </w:r>
      <w:r w:rsidR="003B5584">
        <w:rPr>
          <w:rFonts w:ascii="Arial" w:hAnsi="Arial" w:cs="Arial"/>
          <w:sz w:val="22"/>
          <w:szCs w:val="22"/>
        </w:rPr>
        <w:t>4</w:t>
      </w:r>
      <w:r w:rsidRPr="00551FF0">
        <w:rPr>
          <w:rFonts w:ascii="Arial" w:hAnsi="Arial" w:cs="Arial"/>
          <w:sz w:val="22"/>
          <w:szCs w:val="22"/>
        </w:rPr>
        <w:t>, investicijsko dokumentacijo potrjuje Občinski svet.</w:t>
      </w:r>
    </w:p>
    <w:p w:rsidR="001165ED" w:rsidRDefault="001165ED" w:rsidP="002B3AB4">
      <w:pPr>
        <w:jc w:val="both"/>
        <w:rPr>
          <w:rFonts w:ascii="Arial" w:hAnsi="Arial" w:cs="Arial"/>
          <w:sz w:val="22"/>
          <w:szCs w:val="22"/>
        </w:rPr>
      </w:pPr>
    </w:p>
    <w:p w:rsidR="001165ED" w:rsidRDefault="001165ED" w:rsidP="002B3A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identifikacije investicije projekta – DIIP je Občinski svet </w:t>
      </w:r>
      <w:r w:rsidR="003B5584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bčine Kamnik potrdil na 8. redni seji</w:t>
      </w:r>
      <w:r w:rsidR="003B558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20. decembra 2023. Za pred</w:t>
      </w:r>
      <w:r w:rsidR="008127E5">
        <w:rPr>
          <w:rFonts w:ascii="Arial" w:hAnsi="Arial" w:cs="Arial"/>
          <w:sz w:val="22"/>
          <w:szCs w:val="22"/>
        </w:rPr>
        <w:t>metno območje je bila sprejeta L</w:t>
      </w:r>
      <w:r>
        <w:rPr>
          <w:rFonts w:ascii="Arial" w:hAnsi="Arial" w:cs="Arial"/>
          <w:sz w:val="22"/>
          <w:szCs w:val="22"/>
        </w:rPr>
        <w:t>okacijska preveritev, ki omogoča pridobitev gradbenega dovoljenja za nameravano poslovno namembnost.</w:t>
      </w:r>
    </w:p>
    <w:p w:rsidR="003B5584" w:rsidRDefault="003B5584" w:rsidP="002B3AB4">
      <w:pPr>
        <w:jc w:val="both"/>
        <w:rPr>
          <w:rFonts w:ascii="Arial" w:hAnsi="Arial" w:cs="Arial"/>
          <w:sz w:val="22"/>
          <w:szCs w:val="22"/>
        </w:rPr>
      </w:pPr>
    </w:p>
    <w:p w:rsidR="008127E5" w:rsidRDefault="001165ED" w:rsidP="002B3A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Občina Kamnik in Javni lekarniški zavo</w:t>
      </w:r>
      <w:r w:rsidR="00B76AC6">
        <w:rPr>
          <w:rFonts w:ascii="Arial" w:hAnsi="Arial" w:cs="Arial"/>
          <w:sz w:val="22"/>
          <w:szCs w:val="22"/>
        </w:rPr>
        <w:t>d Mestne lekarne sta podpisal</w:t>
      </w:r>
      <w:r w:rsidR="003B5584">
        <w:rPr>
          <w:rFonts w:ascii="Arial" w:hAnsi="Arial" w:cs="Arial"/>
          <w:sz w:val="22"/>
          <w:szCs w:val="22"/>
        </w:rPr>
        <w:t>a</w:t>
      </w:r>
      <w:r w:rsidR="00B76AC6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>porazum</w:t>
      </w:r>
      <w:r w:rsidR="00B76AC6">
        <w:rPr>
          <w:rFonts w:ascii="Arial" w:hAnsi="Arial" w:cs="Arial"/>
          <w:sz w:val="22"/>
          <w:szCs w:val="22"/>
        </w:rPr>
        <w:t xml:space="preserve"> o ureditv</w:t>
      </w:r>
      <w:r w:rsidR="003B5584">
        <w:rPr>
          <w:rFonts w:ascii="Arial" w:hAnsi="Arial" w:cs="Arial"/>
          <w:sz w:val="22"/>
          <w:szCs w:val="22"/>
        </w:rPr>
        <w:t>i</w:t>
      </w:r>
      <w:r w:rsidR="00B76AC6">
        <w:rPr>
          <w:rFonts w:ascii="Arial" w:hAnsi="Arial" w:cs="Arial"/>
          <w:sz w:val="22"/>
          <w:szCs w:val="22"/>
        </w:rPr>
        <w:t xml:space="preserve"> medsebojnih razmerij, ki določa obveznosti in pravice posameznega subjekta</w:t>
      </w:r>
      <w:r w:rsidR="008127E5">
        <w:rPr>
          <w:rFonts w:ascii="Arial" w:hAnsi="Arial" w:cs="Arial"/>
          <w:sz w:val="22"/>
          <w:szCs w:val="22"/>
        </w:rPr>
        <w:t xml:space="preserve"> predvsem</w:t>
      </w:r>
      <w:r w:rsidR="00B76AC6">
        <w:rPr>
          <w:rFonts w:ascii="Arial" w:hAnsi="Arial" w:cs="Arial"/>
          <w:sz w:val="22"/>
          <w:szCs w:val="22"/>
        </w:rPr>
        <w:t xml:space="preserve"> v času pri</w:t>
      </w:r>
      <w:r w:rsidR="00B76AC6">
        <w:rPr>
          <w:rFonts w:ascii="Arial" w:hAnsi="Arial" w:cs="Arial"/>
          <w:sz w:val="22"/>
          <w:szCs w:val="22"/>
        </w:rPr>
        <w:lastRenderedPageBreak/>
        <w:t>dobivanja projektne dokumentacije in gradbene</w:t>
      </w:r>
      <w:r w:rsidR="008127E5">
        <w:rPr>
          <w:rFonts w:ascii="Arial" w:hAnsi="Arial" w:cs="Arial"/>
          <w:sz w:val="22"/>
          <w:szCs w:val="22"/>
        </w:rPr>
        <w:t>ga dovoljenja ter opredeljuje namen sklenitve Pogodbe o ustanovitvi stavbne pravice, ki bo omogočala</w:t>
      </w:r>
      <w:r w:rsidR="007131E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131EF">
        <w:rPr>
          <w:rFonts w:ascii="Arial" w:hAnsi="Arial" w:cs="Arial"/>
          <w:sz w:val="22"/>
          <w:szCs w:val="22"/>
        </w:rPr>
        <w:t>investitorstvo</w:t>
      </w:r>
      <w:proofErr w:type="spellEnd"/>
      <w:r w:rsidR="008127E5">
        <w:rPr>
          <w:rFonts w:ascii="Arial" w:hAnsi="Arial" w:cs="Arial"/>
          <w:sz w:val="22"/>
          <w:szCs w:val="22"/>
        </w:rPr>
        <w:t xml:space="preserve"> Javnemu lekarniškemu zavodu Mestne lekarne. </w:t>
      </w:r>
    </w:p>
    <w:p w:rsidR="007131EF" w:rsidRDefault="007131EF" w:rsidP="002B3AB4">
      <w:pPr>
        <w:jc w:val="both"/>
        <w:rPr>
          <w:rFonts w:ascii="Arial" w:hAnsi="Arial" w:cs="Arial"/>
          <w:sz w:val="22"/>
          <w:szCs w:val="22"/>
        </w:rPr>
      </w:pPr>
    </w:p>
    <w:p w:rsidR="007131EF" w:rsidRDefault="007131EF" w:rsidP="002B3AB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skladu s 4., 5., 10. in 12. členom </w:t>
      </w:r>
      <w:r w:rsidRPr="00551FF0">
        <w:rPr>
          <w:rFonts w:ascii="Arial" w:hAnsi="Arial" w:cs="Arial"/>
          <w:sz w:val="22"/>
          <w:szCs w:val="22"/>
        </w:rPr>
        <w:t>Uredbe o enotni metodologiji za pripravo in obravnavo investicijske dokumentacije na področju javnih financ (Uradni list RS, št. 60/06, 54/10 in 27/16)</w:t>
      </w:r>
      <w:r>
        <w:rPr>
          <w:rFonts w:ascii="Arial" w:hAnsi="Arial" w:cs="Arial"/>
          <w:sz w:val="22"/>
          <w:szCs w:val="22"/>
        </w:rPr>
        <w:t xml:space="preserve"> je za investicijo, ki skupno presega 2.5 mio e</w:t>
      </w:r>
      <w:r w:rsidR="003B5584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>rov</w:t>
      </w:r>
      <w:r w:rsidR="003B558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3B5584">
        <w:rPr>
          <w:rFonts w:ascii="Arial" w:hAnsi="Arial" w:cs="Arial"/>
          <w:sz w:val="22"/>
          <w:szCs w:val="22"/>
        </w:rPr>
        <w:t xml:space="preserve">treba </w:t>
      </w:r>
      <w:r>
        <w:rPr>
          <w:rFonts w:ascii="Arial" w:hAnsi="Arial" w:cs="Arial"/>
          <w:sz w:val="22"/>
          <w:szCs w:val="22"/>
        </w:rPr>
        <w:t xml:space="preserve">pripraviti, obravnavati in potrditi </w:t>
      </w:r>
      <w:r w:rsidR="003B5584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redinvesticijsko zasnovo, ki v primeru potrditve omogoča pripravo </w:t>
      </w:r>
      <w:r w:rsidR="003B5584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nvesticijskega programa predmetne investicije.</w:t>
      </w:r>
    </w:p>
    <w:p w:rsidR="007131EF" w:rsidRDefault="007131EF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>Investicijski program</w:t>
      </w:r>
      <w:r w:rsidR="00E70C83" w:rsidRPr="00551FF0">
        <w:rPr>
          <w:rFonts w:ascii="Arial" w:hAnsi="Arial" w:cs="Arial"/>
          <w:sz w:val="22"/>
          <w:szCs w:val="22"/>
        </w:rPr>
        <w:t xml:space="preserve"> </w:t>
      </w:r>
      <w:r w:rsidR="003B5584">
        <w:rPr>
          <w:rFonts w:ascii="Arial" w:hAnsi="Arial" w:cs="Arial"/>
          <w:sz w:val="22"/>
          <w:szCs w:val="22"/>
        </w:rPr>
        <w:t>–</w:t>
      </w:r>
      <w:r w:rsidR="00E70C83" w:rsidRPr="00551FF0">
        <w:rPr>
          <w:rFonts w:ascii="Arial" w:hAnsi="Arial" w:cs="Arial"/>
          <w:sz w:val="22"/>
          <w:szCs w:val="22"/>
        </w:rPr>
        <w:t xml:space="preserve"> IP</w:t>
      </w:r>
      <w:r w:rsidRPr="00551FF0">
        <w:rPr>
          <w:rFonts w:ascii="Arial" w:hAnsi="Arial" w:cs="Arial"/>
          <w:sz w:val="22"/>
          <w:szCs w:val="22"/>
        </w:rPr>
        <w:t xml:space="preserve"> </w:t>
      </w:r>
      <w:r w:rsidR="007131EF">
        <w:rPr>
          <w:rFonts w:ascii="Arial" w:hAnsi="Arial" w:cs="Arial"/>
          <w:sz w:val="22"/>
          <w:szCs w:val="22"/>
        </w:rPr>
        <w:t>bo pripravljen po</w:t>
      </w:r>
      <w:r w:rsidRPr="00551FF0">
        <w:rPr>
          <w:rFonts w:ascii="Arial" w:hAnsi="Arial" w:cs="Arial"/>
          <w:sz w:val="22"/>
          <w:szCs w:val="22"/>
        </w:rPr>
        <w:t xml:space="preserve"> pridobljenem gradbenem dovoljenju in izdelanem projektu PZI, v katerem bodo </w:t>
      </w:r>
      <w:r w:rsidR="00E70C83" w:rsidRPr="00551FF0">
        <w:rPr>
          <w:rFonts w:ascii="Arial" w:hAnsi="Arial" w:cs="Arial"/>
          <w:sz w:val="22"/>
          <w:szCs w:val="22"/>
        </w:rPr>
        <w:t>prikazani predvideni stroški posamezne faze</w:t>
      </w:r>
      <w:r w:rsidRPr="00551FF0">
        <w:rPr>
          <w:rFonts w:ascii="Arial" w:hAnsi="Arial" w:cs="Arial"/>
          <w:sz w:val="22"/>
          <w:szCs w:val="22"/>
        </w:rPr>
        <w:t xml:space="preserve">. 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5A6443" w:rsidP="002B3AB4">
      <w:pPr>
        <w:jc w:val="both"/>
        <w:rPr>
          <w:rFonts w:ascii="Arial" w:hAnsi="Arial" w:cs="Arial"/>
          <w:b/>
          <w:sz w:val="22"/>
          <w:szCs w:val="22"/>
        </w:rPr>
      </w:pPr>
      <w:r w:rsidRPr="00551FF0">
        <w:rPr>
          <w:rFonts w:ascii="Arial" w:hAnsi="Arial" w:cs="Arial"/>
          <w:b/>
          <w:sz w:val="22"/>
          <w:szCs w:val="22"/>
        </w:rPr>
        <w:t xml:space="preserve"> </w:t>
      </w:r>
      <w:r w:rsidR="002B3AB4" w:rsidRPr="00551FF0">
        <w:rPr>
          <w:rFonts w:ascii="Arial" w:hAnsi="Arial" w:cs="Arial"/>
          <w:b/>
          <w:sz w:val="22"/>
          <w:szCs w:val="22"/>
        </w:rPr>
        <w:t>2.</w:t>
      </w:r>
      <w:r w:rsidR="002B3AB4" w:rsidRPr="00551FF0">
        <w:rPr>
          <w:rFonts w:ascii="Arial" w:hAnsi="Arial" w:cs="Arial"/>
          <w:b/>
          <w:sz w:val="22"/>
          <w:szCs w:val="22"/>
        </w:rPr>
        <w:tab/>
        <w:t xml:space="preserve">Cilji in načela predloga potrditve </w:t>
      </w:r>
      <w:r w:rsidR="007131EF" w:rsidRPr="007131EF">
        <w:rPr>
          <w:rFonts w:ascii="Arial" w:hAnsi="Arial" w:cs="Arial"/>
          <w:b/>
          <w:sz w:val="22"/>
          <w:szCs w:val="22"/>
        </w:rPr>
        <w:t xml:space="preserve">Predinvesticijske zasnove </w:t>
      </w:r>
      <w:r w:rsidR="003B5584">
        <w:rPr>
          <w:rFonts w:ascii="Arial" w:hAnsi="Arial" w:cs="Arial"/>
          <w:b/>
          <w:sz w:val="22"/>
          <w:szCs w:val="22"/>
        </w:rPr>
        <w:t>(</w:t>
      </w:r>
      <w:r w:rsidR="007131EF" w:rsidRPr="007131EF">
        <w:rPr>
          <w:rFonts w:ascii="Arial" w:hAnsi="Arial" w:cs="Arial"/>
          <w:b/>
          <w:sz w:val="22"/>
          <w:szCs w:val="22"/>
        </w:rPr>
        <w:t>PIZ</w:t>
      </w:r>
      <w:r w:rsidR="003B5584">
        <w:rPr>
          <w:rFonts w:ascii="Arial" w:hAnsi="Arial" w:cs="Arial"/>
          <w:b/>
          <w:sz w:val="22"/>
          <w:szCs w:val="22"/>
        </w:rPr>
        <w:t>)</w:t>
      </w:r>
      <w:r w:rsidR="002B3AB4" w:rsidRPr="00551FF0">
        <w:rPr>
          <w:rFonts w:ascii="Arial" w:hAnsi="Arial" w:cs="Arial"/>
          <w:b/>
          <w:sz w:val="22"/>
          <w:szCs w:val="22"/>
        </w:rPr>
        <w:t xml:space="preserve"> »</w:t>
      </w:r>
      <w:r w:rsidR="00C628B9">
        <w:rPr>
          <w:rFonts w:ascii="Arial" w:hAnsi="Arial" w:cs="Arial"/>
          <w:b/>
          <w:sz w:val="22"/>
          <w:szCs w:val="22"/>
        </w:rPr>
        <w:t>Poslovni objekt Usnjarska cesta</w:t>
      </w:r>
      <w:r w:rsidR="00017B4D" w:rsidRPr="00017B4D">
        <w:rPr>
          <w:rFonts w:ascii="Arial" w:hAnsi="Arial" w:cs="Arial"/>
          <w:b/>
          <w:sz w:val="22"/>
          <w:szCs w:val="22"/>
        </w:rPr>
        <w:t xml:space="preserve"> 1</w:t>
      </w:r>
      <w:r w:rsidR="002B3AB4" w:rsidRPr="00017B4D">
        <w:rPr>
          <w:rFonts w:ascii="Arial" w:hAnsi="Arial" w:cs="Arial"/>
          <w:b/>
          <w:sz w:val="22"/>
          <w:szCs w:val="22"/>
        </w:rPr>
        <w:t>«: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Cilj potrditve </w:t>
      </w:r>
      <w:r w:rsidR="003B5584">
        <w:rPr>
          <w:rFonts w:ascii="Arial" w:hAnsi="Arial" w:cs="Arial"/>
          <w:sz w:val="22"/>
          <w:szCs w:val="22"/>
        </w:rPr>
        <w:t>p</w:t>
      </w:r>
      <w:r w:rsidR="007131EF">
        <w:rPr>
          <w:rFonts w:ascii="Arial" w:hAnsi="Arial" w:cs="Arial"/>
          <w:sz w:val="22"/>
          <w:szCs w:val="22"/>
        </w:rPr>
        <w:t>red</w:t>
      </w:r>
      <w:r w:rsidRPr="00551FF0">
        <w:rPr>
          <w:rFonts w:ascii="Arial" w:hAnsi="Arial" w:cs="Arial"/>
          <w:sz w:val="22"/>
          <w:szCs w:val="22"/>
        </w:rPr>
        <w:t>investicijske</w:t>
      </w:r>
      <w:r w:rsidR="007131EF">
        <w:rPr>
          <w:rFonts w:ascii="Arial" w:hAnsi="Arial" w:cs="Arial"/>
          <w:sz w:val="22"/>
          <w:szCs w:val="22"/>
        </w:rPr>
        <w:t xml:space="preserve"> zasnove </w:t>
      </w:r>
      <w:r w:rsidR="003B5584">
        <w:rPr>
          <w:rFonts w:ascii="Arial" w:hAnsi="Arial" w:cs="Arial"/>
          <w:sz w:val="22"/>
          <w:szCs w:val="22"/>
        </w:rPr>
        <w:t>–</w:t>
      </w:r>
      <w:r w:rsidR="007131EF">
        <w:rPr>
          <w:rFonts w:ascii="Arial" w:hAnsi="Arial" w:cs="Arial"/>
          <w:sz w:val="22"/>
          <w:szCs w:val="22"/>
        </w:rPr>
        <w:t xml:space="preserve"> PIZ</w:t>
      </w:r>
      <w:r w:rsidRPr="00551FF0">
        <w:rPr>
          <w:rFonts w:ascii="Arial" w:hAnsi="Arial" w:cs="Arial"/>
          <w:sz w:val="22"/>
          <w:szCs w:val="22"/>
        </w:rPr>
        <w:t xml:space="preserve"> je zadostiti zahtevam, ki izhajajo iz Uredbe o enotni metodologiji za pripravo in obravnavo investicijske dokumentacije na področju javnih financ in iz 7. člena Odloka o proračunu Občine Kamnik za leto 202</w:t>
      </w:r>
      <w:r w:rsidR="009A3210">
        <w:rPr>
          <w:rFonts w:ascii="Arial" w:hAnsi="Arial" w:cs="Arial"/>
          <w:sz w:val="22"/>
          <w:szCs w:val="22"/>
        </w:rPr>
        <w:t>4</w:t>
      </w:r>
      <w:r w:rsidR="009B2992">
        <w:rPr>
          <w:rFonts w:ascii="Arial" w:hAnsi="Arial" w:cs="Arial"/>
          <w:sz w:val="22"/>
          <w:szCs w:val="22"/>
        </w:rPr>
        <w:t xml:space="preserve"> ter opredeliti in izkazati smotrnost oziroma opravičenost izvedbe investicije, s tem </w:t>
      </w:r>
      <w:r w:rsidR="003B5584">
        <w:rPr>
          <w:rFonts w:ascii="Arial" w:hAnsi="Arial" w:cs="Arial"/>
          <w:sz w:val="22"/>
          <w:szCs w:val="22"/>
        </w:rPr>
        <w:t xml:space="preserve">pa </w:t>
      </w:r>
      <w:r w:rsidRPr="00551FF0">
        <w:rPr>
          <w:rFonts w:ascii="Arial" w:hAnsi="Arial" w:cs="Arial"/>
          <w:sz w:val="22"/>
          <w:szCs w:val="22"/>
        </w:rPr>
        <w:t>omogočiti Občini Kamnik</w:t>
      </w:r>
      <w:r w:rsidR="00DD7E55" w:rsidRPr="00551FF0">
        <w:rPr>
          <w:rFonts w:ascii="Arial" w:hAnsi="Arial" w:cs="Arial"/>
          <w:sz w:val="22"/>
          <w:szCs w:val="22"/>
        </w:rPr>
        <w:t xml:space="preserve"> in J</w:t>
      </w:r>
      <w:r w:rsidR="009B2992">
        <w:rPr>
          <w:rFonts w:ascii="Arial" w:hAnsi="Arial" w:cs="Arial"/>
          <w:sz w:val="22"/>
          <w:szCs w:val="22"/>
        </w:rPr>
        <w:t>avnemu lekarniškemu zavodu</w:t>
      </w:r>
      <w:r w:rsidR="00DD7E55" w:rsidRPr="00551FF0">
        <w:rPr>
          <w:rFonts w:ascii="Arial" w:hAnsi="Arial" w:cs="Arial"/>
          <w:sz w:val="22"/>
          <w:szCs w:val="22"/>
        </w:rPr>
        <w:t xml:space="preserve"> Mestne lekarne izvesti predmetno investicijo na degradiranem območju </w:t>
      </w:r>
      <w:r w:rsidR="009B2992">
        <w:rPr>
          <w:rFonts w:ascii="Arial" w:hAnsi="Arial" w:cs="Arial"/>
          <w:sz w:val="22"/>
          <w:szCs w:val="22"/>
        </w:rPr>
        <w:t>na vstopu v</w:t>
      </w:r>
      <w:r w:rsidR="00DD7E55" w:rsidRPr="00551FF0">
        <w:rPr>
          <w:rFonts w:ascii="Arial" w:hAnsi="Arial" w:cs="Arial"/>
          <w:sz w:val="22"/>
          <w:szCs w:val="22"/>
        </w:rPr>
        <w:t xml:space="preserve"> mest</w:t>
      </w:r>
      <w:r w:rsidR="009B2992">
        <w:rPr>
          <w:rFonts w:ascii="Arial" w:hAnsi="Arial" w:cs="Arial"/>
          <w:sz w:val="22"/>
          <w:szCs w:val="22"/>
        </w:rPr>
        <w:t>no</w:t>
      </w:r>
      <w:r w:rsidR="00DD7E55" w:rsidRPr="00551FF0">
        <w:rPr>
          <w:rFonts w:ascii="Arial" w:hAnsi="Arial" w:cs="Arial"/>
          <w:sz w:val="22"/>
          <w:szCs w:val="22"/>
        </w:rPr>
        <w:t xml:space="preserve"> jedr</w:t>
      </w:r>
      <w:r w:rsidR="009B2992">
        <w:rPr>
          <w:rFonts w:ascii="Arial" w:hAnsi="Arial" w:cs="Arial"/>
          <w:sz w:val="22"/>
          <w:szCs w:val="22"/>
        </w:rPr>
        <w:t>o</w:t>
      </w:r>
      <w:r w:rsidR="00DD7E55" w:rsidRPr="00551FF0">
        <w:rPr>
          <w:rFonts w:ascii="Arial" w:hAnsi="Arial" w:cs="Arial"/>
          <w:sz w:val="22"/>
          <w:szCs w:val="22"/>
        </w:rPr>
        <w:t>.</w:t>
      </w:r>
    </w:p>
    <w:p w:rsidR="00DD7E55" w:rsidRPr="00551FF0" w:rsidRDefault="00DD7E55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b/>
          <w:sz w:val="22"/>
          <w:szCs w:val="22"/>
        </w:rPr>
      </w:pPr>
      <w:r w:rsidRPr="00551FF0">
        <w:rPr>
          <w:rFonts w:ascii="Arial" w:hAnsi="Arial" w:cs="Arial"/>
          <w:b/>
          <w:sz w:val="22"/>
          <w:szCs w:val="22"/>
        </w:rPr>
        <w:t>3.</w:t>
      </w:r>
      <w:r w:rsidRPr="00551FF0">
        <w:rPr>
          <w:rFonts w:ascii="Arial" w:hAnsi="Arial" w:cs="Arial"/>
          <w:b/>
          <w:sz w:val="22"/>
          <w:szCs w:val="22"/>
        </w:rPr>
        <w:tab/>
        <w:t xml:space="preserve">Ocena finančnih in drugih posledic, ki jih bo imela potrditev </w:t>
      </w:r>
      <w:r w:rsidR="00C641E1">
        <w:rPr>
          <w:rFonts w:ascii="Arial" w:hAnsi="Arial" w:cs="Arial"/>
          <w:b/>
          <w:sz w:val="22"/>
          <w:szCs w:val="22"/>
        </w:rPr>
        <w:t>PIZ</w:t>
      </w:r>
      <w:r w:rsidRPr="00551FF0">
        <w:rPr>
          <w:rFonts w:ascii="Arial" w:hAnsi="Arial" w:cs="Arial"/>
          <w:b/>
          <w:sz w:val="22"/>
          <w:szCs w:val="22"/>
        </w:rPr>
        <w:t xml:space="preserve"> na proračun: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551FF0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Ocenjena vrednost investicije </w:t>
      </w:r>
      <w:r w:rsidR="002B3AB4" w:rsidRPr="00551FF0">
        <w:rPr>
          <w:rFonts w:ascii="Arial" w:hAnsi="Arial" w:cs="Arial"/>
          <w:sz w:val="22"/>
          <w:szCs w:val="22"/>
        </w:rPr>
        <w:t xml:space="preserve">do vključno leta 2025 znaša </w:t>
      </w:r>
      <w:r w:rsidR="009B2992">
        <w:rPr>
          <w:rFonts w:ascii="Arial" w:hAnsi="Arial" w:cs="Arial"/>
          <w:bCs w:val="0"/>
          <w:color w:val="000000"/>
          <w:sz w:val="22"/>
          <w:szCs w:val="22"/>
        </w:rPr>
        <w:t>5.411.594,06</w:t>
      </w:r>
      <w:r w:rsidRPr="00551FF0">
        <w:rPr>
          <w:rFonts w:ascii="Arial" w:hAnsi="Arial" w:cs="Arial"/>
          <w:b/>
          <w:bCs w:val="0"/>
          <w:color w:val="000000"/>
          <w:sz w:val="22"/>
          <w:szCs w:val="22"/>
        </w:rPr>
        <w:t xml:space="preserve"> </w:t>
      </w:r>
      <w:r w:rsidR="003B5584">
        <w:rPr>
          <w:rFonts w:ascii="Arial" w:hAnsi="Arial" w:cs="Arial"/>
          <w:sz w:val="22"/>
          <w:szCs w:val="22"/>
        </w:rPr>
        <w:t>eurov</w:t>
      </w:r>
      <w:r w:rsidR="003B5584" w:rsidRPr="00551FF0">
        <w:rPr>
          <w:rFonts w:ascii="Arial" w:hAnsi="Arial" w:cs="Arial"/>
          <w:sz w:val="22"/>
          <w:szCs w:val="22"/>
        </w:rPr>
        <w:t xml:space="preserve"> </w:t>
      </w:r>
      <w:r w:rsidR="002B3AB4" w:rsidRPr="00551FF0">
        <w:rPr>
          <w:rFonts w:ascii="Arial" w:hAnsi="Arial" w:cs="Arial"/>
          <w:sz w:val="22"/>
          <w:szCs w:val="22"/>
        </w:rPr>
        <w:t>z DDV (po stalnih cenah)</w:t>
      </w:r>
      <w:r w:rsidRPr="00551FF0">
        <w:rPr>
          <w:rFonts w:ascii="Arial" w:hAnsi="Arial" w:cs="Arial"/>
          <w:sz w:val="22"/>
          <w:szCs w:val="22"/>
        </w:rPr>
        <w:t>, kar v deležu Občine Kamnik predstavlja 1.4</w:t>
      </w:r>
      <w:r w:rsidR="009B2992">
        <w:rPr>
          <w:rFonts w:ascii="Arial" w:hAnsi="Arial" w:cs="Arial"/>
          <w:sz w:val="22"/>
          <w:szCs w:val="22"/>
        </w:rPr>
        <w:t>63</w:t>
      </w:r>
      <w:r w:rsidRPr="00551FF0">
        <w:rPr>
          <w:rFonts w:ascii="Arial" w:hAnsi="Arial" w:cs="Arial"/>
          <w:sz w:val="22"/>
          <w:szCs w:val="22"/>
        </w:rPr>
        <w:t>.</w:t>
      </w:r>
      <w:r w:rsidR="009B2992">
        <w:rPr>
          <w:rFonts w:ascii="Arial" w:hAnsi="Arial" w:cs="Arial"/>
          <w:sz w:val="22"/>
          <w:szCs w:val="22"/>
        </w:rPr>
        <w:t>123</w:t>
      </w:r>
      <w:r w:rsidRPr="00551FF0">
        <w:rPr>
          <w:rFonts w:ascii="Arial" w:hAnsi="Arial" w:cs="Arial"/>
          <w:sz w:val="22"/>
          <w:szCs w:val="22"/>
        </w:rPr>
        <w:t>,</w:t>
      </w:r>
      <w:r w:rsidR="009B2992">
        <w:rPr>
          <w:rFonts w:ascii="Arial" w:hAnsi="Arial" w:cs="Arial"/>
          <w:sz w:val="22"/>
          <w:szCs w:val="22"/>
        </w:rPr>
        <w:t>03</w:t>
      </w:r>
      <w:r w:rsidRPr="00551FF0">
        <w:rPr>
          <w:rFonts w:ascii="Arial" w:hAnsi="Arial" w:cs="Arial"/>
          <w:sz w:val="22"/>
          <w:szCs w:val="22"/>
        </w:rPr>
        <w:t xml:space="preserve"> </w:t>
      </w:r>
      <w:r w:rsidR="003B5584">
        <w:rPr>
          <w:rFonts w:ascii="Arial" w:hAnsi="Arial" w:cs="Arial"/>
          <w:sz w:val="22"/>
          <w:szCs w:val="22"/>
        </w:rPr>
        <w:t>eurov</w:t>
      </w:r>
      <w:r w:rsidR="003B5584" w:rsidRPr="00551FF0">
        <w:rPr>
          <w:rFonts w:ascii="Arial" w:hAnsi="Arial" w:cs="Arial"/>
          <w:sz w:val="22"/>
          <w:szCs w:val="22"/>
        </w:rPr>
        <w:t xml:space="preserve"> </w:t>
      </w:r>
      <w:r w:rsidR="002B3AB4" w:rsidRPr="00551FF0">
        <w:rPr>
          <w:rFonts w:ascii="Arial" w:hAnsi="Arial" w:cs="Arial"/>
          <w:sz w:val="22"/>
          <w:szCs w:val="22"/>
        </w:rPr>
        <w:t>z DDV</w:t>
      </w:r>
      <w:r w:rsidRPr="00551FF0">
        <w:rPr>
          <w:rFonts w:ascii="Arial" w:hAnsi="Arial" w:cs="Arial"/>
          <w:sz w:val="22"/>
          <w:szCs w:val="22"/>
        </w:rPr>
        <w:t xml:space="preserve">. Po </w:t>
      </w:r>
      <w:r w:rsidR="005A6443">
        <w:rPr>
          <w:rFonts w:ascii="Arial" w:hAnsi="Arial" w:cs="Arial"/>
          <w:sz w:val="22"/>
          <w:szCs w:val="22"/>
        </w:rPr>
        <w:t xml:space="preserve">tekočih </w:t>
      </w:r>
      <w:r w:rsidRPr="00551FF0">
        <w:rPr>
          <w:rFonts w:ascii="Arial" w:hAnsi="Arial" w:cs="Arial"/>
          <w:sz w:val="22"/>
          <w:szCs w:val="22"/>
        </w:rPr>
        <w:t xml:space="preserve">cenah pa investicija </w:t>
      </w:r>
      <w:r w:rsidRPr="002762D8">
        <w:rPr>
          <w:rFonts w:ascii="Arial" w:hAnsi="Arial" w:cs="Arial"/>
          <w:sz w:val="22"/>
          <w:szCs w:val="22"/>
        </w:rPr>
        <w:t xml:space="preserve">znaša </w:t>
      </w:r>
      <w:r w:rsidR="002762D8" w:rsidRPr="002762D8">
        <w:rPr>
          <w:rFonts w:ascii="Arial" w:hAnsi="Arial" w:cs="Arial"/>
          <w:bCs w:val="0"/>
          <w:sz w:val="22"/>
          <w:szCs w:val="22"/>
        </w:rPr>
        <w:t xml:space="preserve">5.688.151,96 </w:t>
      </w:r>
      <w:r w:rsidR="003B5584">
        <w:rPr>
          <w:rFonts w:ascii="Arial" w:hAnsi="Arial" w:cs="Arial"/>
          <w:sz w:val="22"/>
          <w:szCs w:val="22"/>
        </w:rPr>
        <w:t>eurov</w:t>
      </w:r>
      <w:r w:rsidR="003B5584" w:rsidRPr="002762D8">
        <w:rPr>
          <w:rFonts w:ascii="Arial" w:hAnsi="Arial" w:cs="Arial"/>
          <w:sz w:val="22"/>
          <w:szCs w:val="22"/>
        </w:rPr>
        <w:t xml:space="preserve"> </w:t>
      </w:r>
      <w:r w:rsidRPr="002762D8">
        <w:rPr>
          <w:rFonts w:ascii="Arial" w:hAnsi="Arial" w:cs="Arial"/>
          <w:sz w:val="22"/>
          <w:szCs w:val="22"/>
        </w:rPr>
        <w:t xml:space="preserve">z DDV, in sicer z deležem Občine Kamnik v višini </w:t>
      </w:r>
      <w:r w:rsidR="002762D8" w:rsidRPr="002762D8">
        <w:rPr>
          <w:rFonts w:ascii="Arial" w:hAnsi="Arial" w:cs="Arial"/>
          <w:sz w:val="22"/>
          <w:szCs w:val="22"/>
        </w:rPr>
        <w:t>1.540.390,73</w:t>
      </w:r>
      <w:r w:rsidRPr="002762D8">
        <w:rPr>
          <w:rFonts w:ascii="Arial" w:hAnsi="Arial" w:cs="Arial"/>
          <w:sz w:val="22"/>
          <w:szCs w:val="22"/>
        </w:rPr>
        <w:t xml:space="preserve"> </w:t>
      </w:r>
      <w:r w:rsidR="003B5584">
        <w:rPr>
          <w:rFonts w:ascii="Arial" w:hAnsi="Arial" w:cs="Arial"/>
          <w:sz w:val="22"/>
          <w:szCs w:val="22"/>
        </w:rPr>
        <w:t>eurov</w:t>
      </w:r>
      <w:r w:rsidR="003B5584" w:rsidRPr="002762D8">
        <w:rPr>
          <w:rFonts w:ascii="Arial" w:hAnsi="Arial" w:cs="Arial"/>
          <w:sz w:val="22"/>
          <w:szCs w:val="22"/>
        </w:rPr>
        <w:t xml:space="preserve"> </w:t>
      </w:r>
      <w:r w:rsidRPr="002762D8">
        <w:rPr>
          <w:rFonts w:ascii="Arial" w:hAnsi="Arial" w:cs="Arial"/>
          <w:sz w:val="22"/>
          <w:szCs w:val="22"/>
        </w:rPr>
        <w:t xml:space="preserve">z DDV </w:t>
      </w:r>
      <w:r w:rsidR="002B3AB4" w:rsidRPr="002762D8">
        <w:rPr>
          <w:rFonts w:ascii="Arial" w:hAnsi="Arial" w:cs="Arial"/>
          <w:sz w:val="22"/>
          <w:szCs w:val="22"/>
        </w:rPr>
        <w:t>(po tekočih cenah – upoštevan indeks rasti cen).</w:t>
      </w:r>
      <w:r w:rsidR="002B3AB4" w:rsidRPr="002762D8">
        <w:rPr>
          <w:rFonts w:ascii="Arial" w:hAnsi="Arial" w:cs="Arial"/>
        </w:rPr>
        <w:t xml:space="preserve"> </w:t>
      </w:r>
      <w:r w:rsidR="002B3AB4" w:rsidRPr="00551FF0">
        <w:rPr>
          <w:rFonts w:ascii="Arial" w:hAnsi="Arial" w:cs="Arial"/>
          <w:sz w:val="22"/>
          <w:szCs w:val="22"/>
        </w:rPr>
        <w:t xml:space="preserve">Pri oceni stroškov so bile upoštevane vrednosti GOI </w:t>
      </w:r>
      <w:r w:rsidR="002762D8">
        <w:rPr>
          <w:rFonts w:ascii="Arial" w:hAnsi="Arial" w:cs="Arial"/>
          <w:sz w:val="22"/>
          <w:szCs w:val="22"/>
        </w:rPr>
        <w:t>del iz projektne dokumentacije IDZ</w:t>
      </w:r>
      <w:r w:rsidR="002B3AB4" w:rsidRPr="00551FF0">
        <w:rPr>
          <w:rFonts w:ascii="Arial" w:hAnsi="Arial" w:cs="Arial"/>
          <w:sz w:val="22"/>
          <w:szCs w:val="22"/>
        </w:rPr>
        <w:t xml:space="preserve">, z upoštevanjem dodane vrednosti nepredvidenih del. Natančnejša ocena gradbenih del bo upoštevana v </w:t>
      </w:r>
      <w:r w:rsidR="003B5584">
        <w:rPr>
          <w:rFonts w:ascii="Arial" w:hAnsi="Arial" w:cs="Arial"/>
          <w:sz w:val="22"/>
          <w:szCs w:val="22"/>
        </w:rPr>
        <w:t>i</w:t>
      </w:r>
      <w:r w:rsidR="002B3AB4" w:rsidRPr="00551FF0">
        <w:rPr>
          <w:rFonts w:ascii="Arial" w:hAnsi="Arial" w:cs="Arial"/>
          <w:sz w:val="22"/>
          <w:szCs w:val="22"/>
        </w:rPr>
        <w:t>nvesticijskem programu, ko bo izdelana projektna dokumentacija PZI.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center"/>
        <w:rPr>
          <w:rFonts w:ascii="Arial" w:hAnsi="Arial" w:cs="Arial"/>
          <w:sz w:val="20"/>
        </w:rPr>
      </w:pPr>
    </w:p>
    <w:p w:rsidR="002B3AB4" w:rsidRDefault="002B3AB4" w:rsidP="002B3AB4">
      <w:pPr>
        <w:rPr>
          <w:rFonts w:ascii="Arial" w:hAnsi="Arial" w:cs="Arial"/>
          <w:sz w:val="20"/>
        </w:rPr>
      </w:pPr>
      <w:r w:rsidRPr="00551FF0">
        <w:rPr>
          <w:rFonts w:ascii="Arial" w:hAnsi="Arial" w:cs="Arial"/>
          <w:sz w:val="20"/>
        </w:rPr>
        <w:t>Tabela 1: Ocen</w:t>
      </w:r>
      <w:r w:rsidR="005A6443">
        <w:rPr>
          <w:rFonts w:ascii="Arial" w:hAnsi="Arial" w:cs="Arial"/>
          <w:sz w:val="20"/>
        </w:rPr>
        <w:t xml:space="preserve">a stroškov v stalnih </w:t>
      </w:r>
      <w:r w:rsidRPr="00551FF0">
        <w:rPr>
          <w:rFonts w:ascii="Arial" w:hAnsi="Arial" w:cs="Arial"/>
          <w:sz w:val="20"/>
        </w:rPr>
        <w:t>cenah</w:t>
      </w:r>
    </w:p>
    <w:tbl>
      <w:tblPr>
        <w:tblW w:w="1034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276"/>
        <w:gridCol w:w="1559"/>
        <w:gridCol w:w="1418"/>
        <w:gridCol w:w="1559"/>
        <w:gridCol w:w="1559"/>
      </w:tblGrid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7D9B" w:rsidRPr="00FC71E1" w:rsidRDefault="00FB7D9B" w:rsidP="000F5567">
            <w:pPr>
              <w:rPr>
                <w:rFonts w:ascii="Arial" w:hAnsi="Arial" w:cs="Arial"/>
                <w:b/>
                <w:sz w:val="20"/>
              </w:rPr>
            </w:pPr>
            <w:r w:rsidRPr="00FC71E1">
              <w:rPr>
                <w:rFonts w:ascii="Arial" w:hAnsi="Arial" w:cs="Arial"/>
                <w:b/>
                <w:sz w:val="20"/>
              </w:rPr>
              <w:t>LEKARNE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7D9B" w:rsidRPr="00FC71E1" w:rsidRDefault="00FB7D9B" w:rsidP="000F5567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rPr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rPr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D9B" w:rsidRPr="00FC71E1" w:rsidRDefault="00FB7D9B" w:rsidP="000F5567">
            <w:pPr>
              <w:rPr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7D9B" w:rsidRPr="00FC71E1" w:rsidRDefault="00FB7D9B" w:rsidP="000F5567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FB7D9B" w:rsidRPr="00FC71E1" w:rsidTr="00DC6964">
        <w:trPr>
          <w:trHeight w:val="276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POSTAVKE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0F556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0F556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0F556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0F556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0F5567">
            <w:pPr>
              <w:jc w:val="center"/>
              <w:rPr>
                <w:rFonts w:ascii="Arial Narrow" w:hAnsi="Arial Narrow" w:cs="Arial"/>
                <w:b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 xml:space="preserve">SKUPAJ 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1. GRADNJA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496.824,50 €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1.494.106,00 €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1.990.930,50</w:t>
            </w:r>
            <w:r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2. OPREMA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914.950,00 €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914.950,00</w:t>
            </w:r>
            <w:r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3B5584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3.1.PROJEKTNA DOKUMENTACIJA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  <w:r w:rsidRPr="00FC71E1">
              <w:rPr>
                <w:rFonts w:ascii="Arial" w:hAnsi="Arial" w:cs="Arial"/>
                <w:bCs w:val="0"/>
                <w:color w:val="000000"/>
                <w:sz w:val="20"/>
              </w:rPr>
              <w:t>9.916,00</w:t>
            </w:r>
            <w:r>
              <w:rPr>
                <w:rFonts w:ascii="Arial" w:hAnsi="Arial" w:cs="Arial"/>
                <w:bCs w:val="0"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13.500,00 €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116.235,22 €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139.651,22</w:t>
            </w:r>
            <w:r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3.2. INVESTICIJSKA DOKUMENTACIJA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  <w:r w:rsidRPr="00FC71E1">
              <w:rPr>
                <w:rFonts w:ascii="Arial" w:hAnsi="Arial" w:cs="Arial"/>
                <w:bCs w:val="0"/>
                <w:color w:val="000000"/>
                <w:sz w:val="20"/>
              </w:rPr>
              <w:t>1.900,00</w:t>
            </w:r>
            <w:r>
              <w:rPr>
                <w:rFonts w:ascii="Arial" w:hAnsi="Arial" w:cs="Arial"/>
                <w:bCs w:val="0"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1.343,25 €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1.194,00 €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4.437,25</w:t>
            </w:r>
            <w:r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3.3. NADZOR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3.285,04 €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29.565,32 €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32.850,35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3.4. INŽENIRING SKUPAJ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39.121,78 €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17.226,24 €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40.194,55 €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96.542,57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3.5.KOMUNALNI PRISPEVEK** + OSTALI STROŠKI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7.082,00 €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47.481,77 €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2.526,00 €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57.089,77</w:t>
            </w:r>
          </w:p>
        </w:tc>
      </w:tr>
      <w:tr w:rsidR="00FB7D9B" w:rsidRPr="00FC71E1" w:rsidTr="00DC6964">
        <w:trPr>
          <w:trHeight w:val="276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SKUPAJ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11.816,00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61.047,03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682.246,76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2.481.341,87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3.236.451,66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76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DDV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2.599,52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13.430,35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150.094,29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545.895,21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712.019,37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76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3B5584">
            <w:pPr>
              <w:rPr>
                <w:rFonts w:ascii="Arial Narrow" w:hAnsi="Arial Narrow" w:cs="Arial"/>
                <w:b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/>
                <w:color w:val="000000"/>
                <w:sz w:val="20"/>
              </w:rPr>
              <w:t>SKUPAJ INVESTICIJA Z DDV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14.415,52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74.477,38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832.341,05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3.027.237,08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3.948.471,03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7D9B" w:rsidRPr="00FC71E1" w:rsidRDefault="00FB7D9B" w:rsidP="000F5567">
            <w:pPr>
              <w:rPr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rPr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rPr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rPr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jc w:val="right"/>
              <w:rPr>
                <w:bCs w:val="0"/>
                <w:sz w:val="20"/>
              </w:rPr>
            </w:pPr>
          </w:p>
        </w:tc>
      </w:tr>
      <w:tr w:rsidR="00FB7D9B" w:rsidRPr="00FC71E1" w:rsidTr="00DC6964">
        <w:trPr>
          <w:trHeight w:val="264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7D9B" w:rsidRPr="00FC71E1" w:rsidRDefault="00FB7D9B" w:rsidP="00FB7D9B">
            <w:pPr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/>
                <w:sz w:val="20"/>
              </w:rPr>
              <w:t>OBČINA KAMNIK</w:t>
            </w:r>
            <w:r w:rsidRPr="00FB7D9B">
              <w:rPr>
                <w:rFonts w:ascii="Arial" w:hAnsi="Arial" w:cs="Arial"/>
                <w:b/>
                <w:sz w:val="20"/>
              </w:rPr>
              <w:t xml:space="preserve"> – stalne cene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rPr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rPr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jc w:val="right"/>
              <w:rPr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jc w:val="right"/>
              <w:rPr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7D9B" w:rsidRPr="00FC71E1" w:rsidRDefault="00FB7D9B" w:rsidP="000F5567">
            <w:pPr>
              <w:jc w:val="right"/>
              <w:rPr>
                <w:bCs w:val="0"/>
                <w:sz w:val="20"/>
              </w:rPr>
            </w:pP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" w:hAnsi="Arial" w:cs="Arial"/>
                <w:b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POSTAVKE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bCs w:val="0"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bCs w:val="0"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bCs w:val="0"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/>
                <w:sz w:val="20"/>
              </w:rPr>
              <w:t>SKUPAJ</w:t>
            </w:r>
          </w:p>
        </w:tc>
      </w:tr>
      <w:tr w:rsidR="00FB7D9B" w:rsidRPr="00FC71E1" w:rsidTr="00DC6964">
        <w:trPr>
          <w:trHeight w:val="276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1. GRADNJA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104.897,00 €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870.193,00 €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975.090,00</w:t>
            </w:r>
            <w:r w:rsidR="00DC6964"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lastRenderedPageBreak/>
              <w:t>2. OPREMA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117.000,00 €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117.000,00</w:t>
            </w:r>
            <w:r w:rsidR="00DC6964"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3B5584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 xml:space="preserve">3.1.PROJEKTNA DOKUMENTACIJA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35.000,00 €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35.000,00</w:t>
            </w:r>
            <w:r w:rsidR="00DC6964"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3.2. INVESTICIJSKA DOKUMENTACIJA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906,75 €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806,00 €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1.712,75</w:t>
            </w:r>
            <w:r w:rsidR="00DC6964"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 xml:space="preserve">3.3. NADZOR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8.806,13 €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20.547,63 €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29.353,76</w:t>
            </w:r>
            <w:r w:rsidR="00DC6964"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3.4. INŽENIRING SKUPAJ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-  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-  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DC6964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>
              <w:rPr>
                <w:rFonts w:ascii="Arial" w:hAnsi="Arial" w:cs="Arial"/>
                <w:bCs w:val="0"/>
                <w:sz w:val="20"/>
              </w:rPr>
              <w:t xml:space="preserve">- </w:t>
            </w:r>
            <w:r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3.5.KOMUNALNI PRISPEVEK** + OSTALI STROŠKI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5.918,00 €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33.514,66 €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1.692,00 €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Cs w:val="0"/>
                <w:sz w:val="20"/>
              </w:rPr>
              <w:t>41.124,66</w:t>
            </w:r>
            <w:r w:rsidR="00DC6964">
              <w:rPr>
                <w:rFonts w:ascii="Arial" w:hAnsi="Arial" w:cs="Arial"/>
                <w:bCs w:val="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88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 xml:space="preserve">SKUPAJ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6.824,75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183.023,79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1.009.432,63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Cs w:val="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1.199.281,17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76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Cs w:val="0"/>
                <w:color w:val="000000"/>
                <w:sz w:val="20"/>
              </w:rPr>
              <w:t>DDV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1.501,45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40.265,23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222.075,18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263.841,86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  <w:tr w:rsidR="00FB7D9B" w:rsidRPr="00FC71E1" w:rsidTr="00DC6964">
        <w:trPr>
          <w:trHeight w:val="276"/>
          <w:jc w:val="center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3B5584">
            <w:pPr>
              <w:rPr>
                <w:rFonts w:ascii="Arial Narrow" w:hAnsi="Arial Narrow" w:cs="Arial"/>
                <w:bCs w:val="0"/>
                <w:color w:val="000000"/>
                <w:sz w:val="20"/>
              </w:rPr>
            </w:pPr>
            <w:r w:rsidRPr="00FC71E1">
              <w:rPr>
                <w:rFonts w:ascii="Arial Narrow" w:hAnsi="Arial Narrow" w:cs="Arial"/>
                <w:b/>
                <w:color w:val="000000"/>
                <w:sz w:val="20"/>
              </w:rPr>
              <w:t>SKUPAJ INVESTICIJA Z DDV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8.326,20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223.289,02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1.231.507,81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9B" w:rsidRPr="00FC71E1" w:rsidRDefault="00FB7D9B" w:rsidP="00FB7D9B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1.463.123,03</w:t>
            </w:r>
            <w:r w:rsidR="00DC6964"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  <w:r w:rsidR="00DC6964" w:rsidRPr="00FC71E1">
              <w:rPr>
                <w:rFonts w:ascii="Arial" w:hAnsi="Arial" w:cs="Arial"/>
                <w:bCs w:val="0"/>
                <w:sz w:val="20"/>
              </w:rPr>
              <w:t>€</w:t>
            </w:r>
          </w:p>
        </w:tc>
      </w:tr>
    </w:tbl>
    <w:p w:rsidR="005A6443" w:rsidRPr="00551FF0" w:rsidRDefault="005A6443" w:rsidP="002B3AB4">
      <w:pPr>
        <w:rPr>
          <w:rFonts w:ascii="Arial" w:hAnsi="Arial" w:cs="Arial"/>
          <w:sz w:val="20"/>
        </w:rPr>
      </w:pPr>
    </w:p>
    <w:p w:rsidR="00A0774A" w:rsidRPr="00551FF0" w:rsidRDefault="00A0774A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0"/>
        </w:rPr>
      </w:pPr>
      <w:r w:rsidRPr="00551FF0">
        <w:rPr>
          <w:rFonts w:ascii="Arial" w:hAnsi="Arial" w:cs="Arial"/>
          <w:sz w:val="20"/>
        </w:rPr>
        <w:t>Tabela 2: Viri fin</w:t>
      </w:r>
      <w:r w:rsidR="00DC6964">
        <w:rPr>
          <w:rFonts w:ascii="Arial" w:hAnsi="Arial" w:cs="Arial"/>
          <w:sz w:val="20"/>
        </w:rPr>
        <w:t xml:space="preserve">anciranja po stalnih </w:t>
      </w:r>
      <w:r w:rsidRPr="00551FF0">
        <w:rPr>
          <w:rFonts w:ascii="Arial" w:hAnsi="Arial" w:cs="Arial"/>
          <w:sz w:val="20"/>
        </w:rPr>
        <w:t xml:space="preserve">cenah z DDV v </w:t>
      </w:r>
      <w:r w:rsidR="003B5584">
        <w:rPr>
          <w:rFonts w:ascii="Arial" w:hAnsi="Arial" w:cs="Arial"/>
          <w:sz w:val="20"/>
        </w:rPr>
        <w:t>eurih</w:t>
      </w:r>
    </w:p>
    <w:p w:rsidR="00A0774A" w:rsidRPr="00551FF0" w:rsidRDefault="00A0774A" w:rsidP="002B3AB4">
      <w:pPr>
        <w:jc w:val="both"/>
        <w:rPr>
          <w:rFonts w:ascii="Arial" w:hAnsi="Arial" w:cs="Arial"/>
          <w:sz w:val="20"/>
        </w:rPr>
      </w:pPr>
    </w:p>
    <w:tbl>
      <w:tblPr>
        <w:tblW w:w="10206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9"/>
        <w:gridCol w:w="2268"/>
        <w:gridCol w:w="1134"/>
        <w:gridCol w:w="1984"/>
        <w:gridCol w:w="2051"/>
      </w:tblGrid>
      <w:tr w:rsidR="002B3AB4" w:rsidRPr="00551FF0" w:rsidTr="00B85582">
        <w:trPr>
          <w:trHeight w:val="300"/>
        </w:trPr>
        <w:tc>
          <w:tcPr>
            <w:tcW w:w="2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B3AB4" w:rsidRPr="00551FF0" w:rsidRDefault="002B3AB4" w:rsidP="00B558C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51FF0">
              <w:rPr>
                <w:rFonts w:ascii="Arial" w:hAnsi="Arial" w:cs="Arial"/>
                <w:b/>
                <w:color w:val="000000"/>
                <w:sz w:val="20"/>
              </w:rPr>
              <w:t>Viri financiranja investicije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B3AB4" w:rsidRPr="00551FF0" w:rsidRDefault="002B3AB4" w:rsidP="00B558C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51FF0">
              <w:rPr>
                <w:rFonts w:ascii="Arial" w:hAnsi="Arial" w:cs="Arial"/>
                <w:b/>
                <w:color w:val="000000"/>
                <w:sz w:val="20"/>
              </w:rPr>
              <w:t>Vrednost v stalnih cenah v EUR z DDV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B3AB4" w:rsidRPr="00551FF0" w:rsidRDefault="002B3AB4" w:rsidP="00B558C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51FF0">
              <w:rPr>
                <w:rFonts w:ascii="Arial" w:hAnsi="Arial" w:cs="Arial"/>
                <w:b/>
                <w:color w:val="000000"/>
                <w:sz w:val="20"/>
              </w:rPr>
              <w:t>Delež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2B3AB4" w:rsidRPr="00551FF0" w:rsidRDefault="002B3AB4" w:rsidP="00B558C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51FF0">
              <w:rPr>
                <w:rFonts w:ascii="Arial" w:hAnsi="Arial" w:cs="Arial"/>
                <w:b/>
                <w:color w:val="000000"/>
                <w:sz w:val="20"/>
              </w:rPr>
              <w:t>Vrednost v tekočih cenah v EUR z DDV</w:t>
            </w:r>
          </w:p>
        </w:tc>
        <w:tc>
          <w:tcPr>
            <w:tcW w:w="2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2B3AB4" w:rsidRPr="00551FF0" w:rsidRDefault="002B3AB4" w:rsidP="00B558C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51FF0">
              <w:rPr>
                <w:rFonts w:ascii="Arial" w:hAnsi="Arial" w:cs="Arial"/>
                <w:b/>
                <w:color w:val="000000"/>
                <w:sz w:val="20"/>
              </w:rPr>
              <w:t>Delež</w:t>
            </w:r>
          </w:p>
        </w:tc>
      </w:tr>
      <w:tr w:rsidR="002B3AB4" w:rsidRPr="00551FF0" w:rsidTr="00B85582">
        <w:trPr>
          <w:trHeight w:val="300"/>
        </w:trPr>
        <w:tc>
          <w:tcPr>
            <w:tcW w:w="2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AB4" w:rsidRPr="00551FF0" w:rsidRDefault="002B3AB4" w:rsidP="00B558CA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AB4" w:rsidRPr="00551FF0" w:rsidRDefault="002B3AB4" w:rsidP="00B558CA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AB4" w:rsidRPr="00551FF0" w:rsidRDefault="002B3AB4" w:rsidP="00B558CA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AB4" w:rsidRPr="00551FF0" w:rsidRDefault="002B3AB4" w:rsidP="00B558CA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2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AB4" w:rsidRPr="00551FF0" w:rsidRDefault="002B3AB4" w:rsidP="00B558CA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</w:tr>
      <w:tr w:rsidR="00A0774A" w:rsidRPr="00551FF0" w:rsidTr="00B85582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4A" w:rsidRPr="00551FF0" w:rsidRDefault="00A0774A" w:rsidP="00A0774A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  <w:r w:rsidRPr="00551FF0">
              <w:rPr>
                <w:rFonts w:ascii="Arial" w:hAnsi="Arial" w:cs="Arial"/>
                <w:color w:val="000000"/>
                <w:sz w:val="20"/>
              </w:rPr>
              <w:t>Občina Kamnik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4A" w:rsidRPr="00551FF0" w:rsidRDefault="00DC6964" w:rsidP="00A0774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1.463.123,03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74A" w:rsidRPr="00551FF0" w:rsidRDefault="00DC6964" w:rsidP="00A0774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27</w:t>
            </w:r>
            <w:r w:rsidR="00A0774A" w:rsidRPr="00551FF0">
              <w:rPr>
                <w:rFonts w:ascii="Arial" w:hAnsi="Arial" w:cs="Arial"/>
                <w:color w:val="000000"/>
                <w:sz w:val="20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4A" w:rsidRPr="002762D8" w:rsidRDefault="002762D8" w:rsidP="00A0774A">
            <w:pPr>
              <w:jc w:val="center"/>
              <w:rPr>
                <w:rFonts w:ascii="Arial" w:hAnsi="Arial" w:cs="Arial"/>
                <w:sz w:val="20"/>
              </w:rPr>
            </w:pPr>
            <w:r w:rsidRPr="002762D8">
              <w:rPr>
                <w:rFonts w:ascii="Arial" w:hAnsi="Arial" w:cs="Arial"/>
                <w:sz w:val="20"/>
              </w:rPr>
              <w:t>1.540.390,73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74A" w:rsidRPr="00551FF0" w:rsidRDefault="00DC6964" w:rsidP="00A0774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27</w:t>
            </w:r>
            <w:r w:rsidR="00A0774A" w:rsidRPr="00551FF0">
              <w:rPr>
                <w:rFonts w:ascii="Arial" w:hAnsi="Arial" w:cs="Arial"/>
                <w:color w:val="000000"/>
                <w:sz w:val="20"/>
              </w:rPr>
              <w:t>%</w:t>
            </w:r>
          </w:p>
        </w:tc>
      </w:tr>
      <w:tr w:rsidR="00A0774A" w:rsidRPr="00551FF0" w:rsidTr="00B85582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4A" w:rsidRPr="00551FF0" w:rsidRDefault="00A0774A" w:rsidP="00A0774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551FF0">
              <w:rPr>
                <w:rFonts w:ascii="Arial" w:hAnsi="Arial" w:cs="Arial"/>
                <w:color w:val="000000"/>
                <w:sz w:val="20"/>
              </w:rPr>
              <w:t>JZ Mestne lekarne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4A" w:rsidRPr="00551FF0" w:rsidRDefault="00DC6964" w:rsidP="00A0774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FC71E1">
              <w:rPr>
                <w:rFonts w:ascii="Arial" w:hAnsi="Arial" w:cs="Arial"/>
                <w:b/>
                <w:color w:val="000000"/>
                <w:sz w:val="20"/>
              </w:rPr>
              <w:t>3.948.471,03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4A" w:rsidRPr="00551FF0" w:rsidRDefault="00DC6964" w:rsidP="00A0774A">
            <w:pPr>
              <w:jc w:val="center"/>
              <w:rPr>
                <w:rFonts w:ascii="Arial" w:hAnsi="Arial" w:cs="Arial"/>
                <w:bCs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73</w:t>
            </w:r>
            <w:r w:rsidR="00A0774A" w:rsidRPr="00551FF0">
              <w:rPr>
                <w:rFonts w:ascii="Arial" w:hAnsi="Arial" w:cs="Arial"/>
                <w:color w:val="000000"/>
                <w:sz w:val="20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4A" w:rsidRPr="002762D8" w:rsidRDefault="002762D8" w:rsidP="00A0774A">
            <w:pPr>
              <w:jc w:val="center"/>
              <w:rPr>
                <w:rFonts w:ascii="Arial" w:hAnsi="Arial" w:cs="Arial"/>
                <w:sz w:val="20"/>
              </w:rPr>
            </w:pPr>
            <w:r w:rsidRPr="002762D8">
              <w:rPr>
                <w:rFonts w:ascii="Arial" w:hAnsi="Arial" w:cs="Arial"/>
                <w:sz w:val="20"/>
              </w:rPr>
              <w:t>4.147.761,23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74A" w:rsidRPr="00551FF0" w:rsidRDefault="00DC6964" w:rsidP="00A0774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73</w:t>
            </w:r>
            <w:r w:rsidR="00A0774A" w:rsidRPr="00551FF0">
              <w:rPr>
                <w:rFonts w:ascii="Arial" w:hAnsi="Arial" w:cs="Arial"/>
                <w:color w:val="000000"/>
                <w:sz w:val="20"/>
              </w:rPr>
              <w:t>%</w:t>
            </w:r>
          </w:p>
        </w:tc>
      </w:tr>
      <w:tr w:rsidR="00A0774A" w:rsidRPr="00551FF0" w:rsidTr="00B85582">
        <w:trPr>
          <w:trHeight w:val="300"/>
        </w:trPr>
        <w:tc>
          <w:tcPr>
            <w:tcW w:w="2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4A" w:rsidRPr="00551FF0" w:rsidRDefault="00A0774A" w:rsidP="00A0774A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51FF0">
              <w:rPr>
                <w:rFonts w:ascii="Arial" w:hAnsi="Arial" w:cs="Arial"/>
                <w:b/>
                <w:bCs w:val="0"/>
                <w:color w:val="000000"/>
                <w:sz w:val="20"/>
              </w:rPr>
              <w:t>SKUPAJ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4A" w:rsidRPr="00551FF0" w:rsidRDefault="00DC6964" w:rsidP="00A0774A">
            <w:pPr>
              <w:jc w:val="center"/>
              <w:rPr>
                <w:rFonts w:ascii="Arial" w:hAnsi="Arial" w:cs="Arial"/>
                <w:b/>
                <w:bCs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 w:val="0"/>
                <w:color w:val="000000"/>
                <w:sz w:val="20"/>
              </w:rPr>
              <w:t>5.411.594,06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4A" w:rsidRPr="00551FF0" w:rsidRDefault="00A0774A" w:rsidP="00A0774A">
            <w:pPr>
              <w:jc w:val="center"/>
              <w:rPr>
                <w:rFonts w:ascii="Arial" w:hAnsi="Arial" w:cs="Arial"/>
                <w:b/>
                <w:bCs w:val="0"/>
                <w:color w:val="000000"/>
                <w:sz w:val="20"/>
              </w:rPr>
            </w:pPr>
            <w:r w:rsidRPr="00551FF0">
              <w:rPr>
                <w:rFonts w:ascii="Arial" w:hAnsi="Arial" w:cs="Arial"/>
                <w:b/>
                <w:bCs w:val="0"/>
                <w:color w:val="000000"/>
                <w:sz w:val="20"/>
              </w:rPr>
              <w:t>100%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4A" w:rsidRPr="002762D8" w:rsidRDefault="002762D8" w:rsidP="00A0774A">
            <w:pPr>
              <w:jc w:val="center"/>
              <w:rPr>
                <w:rFonts w:ascii="Arial" w:hAnsi="Arial" w:cs="Arial"/>
                <w:b/>
                <w:bCs w:val="0"/>
                <w:sz w:val="20"/>
              </w:rPr>
            </w:pPr>
            <w:r w:rsidRPr="002762D8">
              <w:rPr>
                <w:rFonts w:ascii="Arial" w:hAnsi="Arial" w:cs="Arial"/>
                <w:b/>
                <w:bCs w:val="0"/>
                <w:sz w:val="20"/>
              </w:rPr>
              <w:t>5.688.151,96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774A" w:rsidRPr="00551FF0" w:rsidRDefault="00A0774A" w:rsidP="00A0774A">
            <w:pPr>
              <w:jc w:val="center"/>
              <w:rPr>
                <w:rFonts w:ascii="Arial" w:hAnsi="Arial" w:cs="Arial"/>
                <w:b/>
                <w:bCs w:val="0"/>
                <w:color w:val="000000"/>
                <w:sz w:val="20"/>
              </w:rPr>
            </w:pPr>
            <w:r w:rsidRPr="00551FF0">
              <w:rPr>
                <w:rFonts w:ascii="Arial" w:hAnsi="Arial" w:cs="Arial"/>
                <w:b/>
                <w:bCs w:val="0"/>
                <w:color w:val="000000"/>
                <w:sz w:val="20"/>
              </w:rPr>
              <w:t>100%</w:t>
            </w:r>
          </w:p>
        </w:tc>
      </w:tr>
    </w:tbl>
    <w:p w:rsidR="00B85582" w:rsidRDefault="00B85582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Predviden zaključek gradnje je </w:t>
      </w:r>
      <w:r w:rsidR="00B85582">
        <w:rPr>
          <w:rFonts w:ascii="Arial" w:hAnsi="Arial" w:cs="Arial"/>
          <w:sz w:val="22"/>
          <w:szCs w:val="22"/>
        </w:rPr>
        <w:t>do konca leta 2026.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      </w:t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  <w:t xml:space="preserve">     </w:t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ind w:left="6372" w:firstLine="708"/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  Matej Slapar </w:t>
      </w:r>
    </w:p>
    <w:p w:rsidR="002B3AB4" w:rsidRPr="00551FF0" w:rsidRDefault="002B3AB4" w:rsidP="00C641E1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             </w:t>
      </w:r>
      <w:r w:rsidRPr="00551FF0">
        <w:rPr>
          <w:rFonts w:ascii="Arial" w:hAnsi="Arial" w:cs="Arial"/>
          <w:sz w:val="22"/>
          <w:szCs w:val="22"/>
        </w:rPr>
        <w:tab/>
        <w:t xml:space="preserve">     </w:t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</w:r>
      <w:r w:rsidRPr="00551FF0">
        <w:rPr>
          <w:rFonts w:ascii="Arial" w:hAnsi="Arial" w:cs="Arial"/>
          <w:sz w:val="22"/>
          <w:szCs w:val="22"/>
        </w:rPr>
        <w:tab/>
        <w:t xml:space="preserve">      ŽUPAN</w:t>
      </w: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017B4D" w:rsidRPr="00551FF0" w:rsidRDefault="00017B4D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</w:p>
    <w:p w:rsidR="002B3AB4" w:rsidRPr="00551FF0" w:rsidRDefault="002B3AB4" w:rsidP="002B3AB4">
      <w:pPr>
        <w:jc w:val="both"/>
        <w:rPr>
          <w:rFonts w:ascii="Arial" w:hAnsi="Arial" w:cs="Arial"/>
          <w:sz w:val="22"/>
          <w:szCs w:val="22"/>
        </w:rPr>
      </w:pPr>
      <w:r w:rsidRPr="00551FF0">
        <w:rPr>
          <w:rFonts w:ascii="Arial" w:hAnsi="Arial" w:cs="Arial"/>
          <w:sz w:val="22"/>
          <w:szCs w:val="22"/>
        </w:rPr>
        <w:t xml:space="preserve">Priloga: </w:t>
      </w:r>
    </w:p>
    <w:p w:rsidR="002B3AB4" w:rsidRPr="00551FF0" w:rsidRDefault="002762D8" w:rsidP="002B3AB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Predinvesticijska zasnova PIZ </w:t>
      </w:r>
      <w:r w:rsidR="002B3AB4" w:rsidRPr="00551FF0">
        <w:rPr>
          <w:rFonts w:ascii="Arial" w:hAnsi="Arial" w:cs="Arial"/>
          <w:sz w:val="22"/>
          <w:szCs w:val="22"/>
        </w:rPr>
        <w:t>»</w:t>
      </w:r>
      <w:r w:rsidR="00017B4D" w:rsidRPr="00551FF0">
        <w:rPr>
          <w:rFonts w:ascii="Arial" w:hAnsi="Arial" w:cs="Arial"/>
          <w:sz w:val="22"/>
          <w:szCs w:val="22"/>
        </w:rPr>
        <w:t xml:space="preserve">Poslovni objekt Usnjarska </w:t>
      </w:r>
      <w:r w:rsidR="00C628B9">
        <w:rPr>
          <w:rFonts w:ascii="Arial" w:hAnsi="Arial" w:cs="Arial"/>
          <w:sz w:val="22"/>
          <w:szCs w:val="22"/>
        </w:rPr>
        <w:t>cesta</w:t>
      </w:r>
      <w:r w:rsidR="00017B4D" w:rsidRPr="00551FF0">
        <w:rPr>
          <w:rFonts w:ascii="Arial" w:hAnsi="Arial" w:cs="Arial"/>
          <w:sz w:val="22"/>
          <w:szCs w:val="22"/>
        </w:rPr>
        <w:t xml:space="preserve"> 1</w:t>
      </w:r>
      <w:r w:rsidR="002B3AB4" w:rsidRPr="00551FF0">
        <w:rPr>
          <w:rFonts w:ascii="Arial" w:hAnsi="Arial" w:cs="Arial"/>
          <w:sz w:val="22"/>
          <w:szCs w:val="22"/>
        </w:rPr>
        <w:t>«</w:t>
      </w:r>
    </w:p>
    <w:p w:rsidR="001E1A21" w:rsidRPr="00551FF0" w:rsidRDefault="001E1A21">
      <w:pPr>
        <w:rPr>
          <w:rFonts w:ascii="Arial" w:hAnsi="Arial" w:cs="Arial"/>
        </w:rPr>
      </w:pPr>
    </w:p>
    <w:sectPr w:rsidR="001E1A21" w:rsidRPr="00551FF0" w:rsidSect="005A6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5292D"/>
    <w:multiLevelType w:val="hybridMultilevel"/>
    <w:tmpl w:val="C054EDBC"/>
    <w:lvl w:ilvl="0" w:tplc="1E842B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AB4"/>
    <w:rsid w:val="00017B4D"/>
    <w:rsid w:val="000B7014"/>
    <w:rsid w:val="001165ED"/>
    <w:rsid w:val="001404E3"/>
    <w:rsid w:val="001E1A21"/>
    <w:rsid w:val="002762D8"/>
    <w:rsid w:val="002B3AB4"/>
    <w:rsid w:val="003912D0"/>
    <w:rsid w:val="003B5584"/>
    <w:rsid w:val="003C4C13"/>
    <w:rsid w:val="003C4CDA"/>
    <w:rsid w:val="004368DC"/>
    <w:rsid w:val="004934A1"/>
    <w:rsid w:val="005346B4"/>
    <w:rsid w:val="00551FF0"/>
    <w:rsid w:val="005A6443"/>
    <w:rsid w:val="006462C3"/>
    <w:rsid w:val="006F4C7D"/>
    <w:rsid w:val="007131EF"/>
    <w:rsid w:val="008127E5"/>
    <w:rsid w:val="009255BE"/>
    <w:rsid w:val="009A3210"/>
    <w:rsid w:val="009B2992"/>
    <w:rsid w:val="00A0774A"/>
    <w:rsid w:val="00B0115D"/>
    <w:rsid w:val="00B76AC6"/>
    <w:rsid w:val="00B85582"/>
    <w:rsid w:val="00BB6C8F"/>
    <w:rsid w:val="00C3740D"/>
    <w:rsid w:val="00C628B9"/>
    <w:rsid w:val="00C641E1"/>
    <w:rsid w:val="00DC6964"/>
    <w:rsid w:val="00DD7E55"/>
    <w:rsid w:val="00E70C83"/>
    <w:rsid w:val="00F06358"/>
    <w:rsid w:val="00F51422"/>
    <w:rsid w:val="00FB7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56365-6032-4F66-BA63-F994A9F1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B3AB4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017B4D"/>
    <w:pPr>
      <w:jc w:val="both"/>
    </w:pPr>
    <w:rPr>
      <w:rFonts w:ascii="Arial" w:hAnsi="Arial"/>
      <w:bCs w:val="0"/>
    </w:rPr>
  </w:style>
  <w:style w:type="character" w:customStyle="1" w:styleId="TelobesedilaZnak">
    <w:name w:val="Telo besedila Znak"/>
    <w:basedOn w:val="Privzetapisavaodstavka"/>
    <w:link w:val="Telobesedila"/>
    <w:rsid w:val="00017B4D"/>
    <w:rPr>
      <w:rFonts w:ascii="Arial" w:eastAsia="Times New Roman" w:hAnsi="Arial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B558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B5584"/>
    <w:rPr>
      <w:rFonts w:ascii="Segoe UI" w:eastAsia="Times New Roman" w:hAnsi="Segoe UI" w:cs="Segoe UI"/>
      <w:bCs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05F24DD-FF41-4061-BA60-07873CB26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5723</Characters>
  <Application>Microsoft Office Word</Application>
  <DocSecurity>4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Vegel</dc:creator>
  <cp:keywords/>
  <dc:description/>
  <cp:lastModifiedBy>Katja Vegel</cp:lastModifiedBy>
  <cp:revision>2</cp:revision>
  <dcterms:created xsi:type="dcterms:W3CDTF">2024-12-02T08:14:00Z</dcterms:created>
  <dcterms:modified xsi:type="dcterms:W3CDTF">2024-12-02T08:14:00Z</dcterms:modified>
</cp:coreProperties>
</file>